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EVQ-Cosh: Closed-Form Frequency Allocation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for Long-Context Extrapolation</w:t>
      </w:r>
    </w:p>
    <w:p>
      <w:pPr>
        <w:spacing w:after="20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NeurIPS 2026 Acceptance Probability Assessment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March 24, 2026  |  Based on comprehensive repository audit</w:t>
      </w:r>
    </w:p>
    <w:p>
      <w:pPr>
        <w:pBdr>
          <w:bottom w:val="single" w:color="2E75B6" w:sz="6" w:space="1"/>
        </w:pBdr>
        <w:spacing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Documents reviewed: mainstory.md, main.tex (all sections), a1_proofs.tex, a3_supporting_results.tex, THEORY_IRONCLAD.md, PAPER_CLAIMS_MAP.md, all experiment reports, team briefs, gap analysis, negative results, cross-model results, 382M DiT data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Assessment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8"/>
                <w:szCs w:val="28"/>
              </w:rPr>
              <w:t xml:space="preserve">60-75% acceptance probability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Accept (poster) with high confidence; Spotlight possible if Phase 17c multi-seed confirms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Theory-first paper with closed-form solution, single approximation, and broad cross-architecture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&gt;=1B validation; saturated PE track demands exceptional novelty to stand out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assessment is grounded in a comprehensive audit of the entire experiment repository, including 900+ lines of the canonical mainstory.md, all LaTeX paper sections and appendices, theory reference documents, 11+ experiment phase reports, cross-architecture results (MHA, MLA, DiT, VideoGPT), negative results (Qwen LongBench, LLaMA-8B LoRA), team gap analysis, and the full claims traceability map.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Theory Quality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Derivation Chain: Rigor and Elegance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 presents a variational argument that derives a closed-form RoPE frequency allocation from first principles. The derivation chain is: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D(</w:t>
      </w:r>
      <w:r>
        <w:rPr>
          <w:rFonts w:ascii="Arial" w:cs="Arial" w:eastAsia="Arial" w:hAnsi="Arial"/>
          <w:sz w:val="22"/>
          <w:szCs w:val="22"/>
        </w:rPr>
        <w:t xml:space="preserve">Δ) → Phase-collision kernel K(φ₁,φ₂) → Broadband surrogate K_app = αδ + βmin(φ₁,φ₂) → Euler-Lagrange ODE: ρ'' - τ²ρ = γb^{-2φ} → Closed-form solution: ρ* = C₁cosh(τφ) + C₂sinh(τφ) + Pb^{-2φ} → CDF inversion to get φ_k(τ)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genuinely complete variational argument with exactly ONE approximation (the broadband surrogate, validated at R² &gt; 0.99 across 24K configurations). The closed-form CDF inversion formula φ_k(τ) = 1 - (1/τ)arcsinh((1-u_k)sinhτ) is elegant and implementable in 4 lines of code. Theorem 2 proves geometric RoPE is the τ=0 degenerate limit, establishing EVQ as a strict one-parameter generalization. By NeurIPS standards, this is a strong theoretical contribution.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Comparison with Competing Theoretical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closest competitors in the theory space are DAPE (NeurIPS 2024), which learns PE via a neural network with no closed-form, and CREAM (NeurIPS 2024), which uses entropy-aware frequency adjustment but without variational derivation. The ICLR 2026 paper on frequency bands in RoPE provides empirical diagnostics but no closed-form allocation. EVQ-Cosh fills a genuine gap: it is the first closed-form, parameter-free frequency allocation derived from variational principles. The theory alone would be a meaningful contribution even without experiments.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Theory Weaknesses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τ* = d_head/√L scaling law is empirically validated (99 runs, R² &gt; 0.95) but not derived from first principles. The paper correctly labels this as a conjecture, not a theorem. The broadband surrogate has explicit boundary conditions (D(Δ) ∝ 1/Δ, base ∈ [8K, 100K], L ≥ 4096) but these could be more formally stated as a Lemma. The Waterbed Proposition is stated with Jensen argument but a full proof is deferred. These are addressable gaps, not fundamental flaws.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Experiment Evaluation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Scale and Breadth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experimental program is remarkably comprehensive for a from-scratch training study: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Evidence Tier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scales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50M, 125M, 350M, 454M, 750M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Multi-seed (primary)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lengths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128, 256, 512, 1024, 2048, 8192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seeds on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τ*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 runs (27 configs × 3+ seeds)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seeds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MLA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432M, d_rope=32, 3-seed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seeds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(first study)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129.6M + 382M scale-up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Dual-seed h2h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VideoGPT temporal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268.7M, N=2000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Teacher-forced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Downstream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QuALITY n=2086, 454M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Statistical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Progressive 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454M, 3-stage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Single-seed (S2-3)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750M scale-up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Continue@4K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B+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largest from-scratch RoPE frequency allocation study in the literature. No competing work (YaRN, LongRoPE, DAPE, CREAM) trains models from scratch across 5 scales, 2 attention mechanisms, and 2 modalities. The cross-architecture coverage (MHA, MLA, DiT) is a genuine differentiator.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Core Results Strength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EVQ + YaRN Synergy (Claim C3, Evidence: A+)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EVQ+YaRN reaches 100% passkey retrieval at 8K (6-seed, zero variance) while Geo+YaRN stays at 61%. PPL drops from 82.9 to 70.9 at 8K and from 157.7 to 107.5 at 16K. This is the paper's most robust finding, supported by the strongest evidence.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EVQ &gt; Learnable PE (Claim C2, Evidence: 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DAPE-style extreme extrapolation (128→8K), EVQ reaches 333.7 PPL vs DAPE's 455.3, with zero extra parameters. This directly isolates positional encoding as the decisive variable and shows that the closed-form allocation outperforms a learned one.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MLA Validation (Evidence: 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432M MLA experiment (3-seed, d_rope=32) shows EVQ alone reduces PPL at 16K by 31.1% with only +0.9% in-distribution cost. EVQ alone outperforms GEO+YaRN at 16K. This is the first study of RoPE frequency allocation on Multi-head Latent Attention (DeepSeek-V2/V3 architecture).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Progressive Training Amplification (Evidence: B+)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Three-stage progressive training shows EVQ advantage widening from -34.6% to -52.0% to -81.2% at 16K. This is compelling but Stage 2-3 are single-seed. If multi-seed confirms, this upgrades to 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Cross-Architecture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DiT experiments (129.6M and 382M) are particularly valuable. The 382M scale-up shows: training loss identical (+0.3%), YaRN far-frame MSE -35%, noYaRN far-frame MSE -64%. This confirms EVQ generalizes beyond autoregressive text to bidirectional attention in video diffusion. The dead channel analysis (V7: CogVideoX 50%, Wan2.1 42%, Latte 42%, HunyuanVideo 38%, Open-Sora 31%) provides strong motivation.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Negative Results (Handled Well)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repository documents several negative or null results that the paper handles honestly: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Qwen LongBench-21: </w:t>
      </w:r>
      <w:r>
        <w:rPr>
          <w:rFonts w:ascii="Arial" w:cs="Arial" w:eastAsia="Arial" w:hAnsi="Arial"/>
          <w:sz w:val="22"/>
          <w:szCs w:val="22"/>
        </w:rPr>
        <w:t xml:space="preserve">anchored_sigmoid shows -0.35 pct vs baseline. Correctly diagnosed as data recipe mismatch + insufficient training steps. NOT included in paper claims.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LLaMA-8B LoRA hybrid: </w:t>
      </w:r>
      <w:r>
        <w:rPr>
          <w:rFonts w:ascii="Arial" w:cs="Arial" w:eastAsia="Arial" w:hAnsi="Arial"/>
          <w:sz w:val="22"/>
          <w:szCs w:val="22"/>
        </w:rPr>
        <w:t xml:space="preserve">PPL explodes to 77.1 at 32K. Correctly identified as a failed variant. YaRN and PI baselines work (PPL 6.05, 6.14).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 Even Pairs: </w:t>
      </w:r>
      <w:r>
        <w:rPr>
          <w:rFonts w:ascii="Arial" w:cs="Arial" w:eastAsia="Arial" w:hAnsi="Arial"/>
          <w:sz w:val="22"/>
          <w:szCs w:val="22"/>
        </w:rPr>
        <w:t xml:space="preserve">EVQ worse (43.7% vs 72.9%). Acknowledged as limitation.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base=10K dead zone: </w:t>
      </w:r>
      <w:r>
        <w:rPr>
          <w:rFonts w:ascii="Arial" w:cs="Arial" w:eastAsia="Arial" w:hAnsi="Arial"/>
          <w:sz w:val="22"/>
          <w:szCs w:val="22"/>
        </w:rPr>
        <w:t xml:space="preserve">Theory-predicted negative result. Used as evidence FOR the theory (collision-block prediction).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Competitive Landscape (2024-2026)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Direct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18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EVQ Advantage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ICLR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Inference-time NTK+PI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Complementary, not competing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LongRoPE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ICML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Evolutionary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EVQ is closed-form, zero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NeurIPS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Learned PE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125M-1.3B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EVQ &gt; DAPE with 0 params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NeurIPS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Entropy-aware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EVQ has variational theory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 Bands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ICLR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freq diagnostics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EVQ provides solution, not just diagnosis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VideoRoPE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ICML 2025 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Video-specific 3D RoPE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 scope; EVQ validated on 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Attn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NeurIPS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Content-aware 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 paradigm; EVQ is static allocation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RoNoPE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NeurIPS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 RoPE/NoPE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Complementary architectural choice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Market Positioning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 track is saturated but EVQ-Cosh occupies a unique niche: it is the only paper offering a closed-form variational solution for RoPE frequency allocation. Most competitors are either inference-time methods (YaRN, PI, LongRoPE), learned methods (DAPE), or diagnostic frameworks (Frequency Bands). EVQ addresses a different layer of the stack: training-time frequency initialization. The ICLR 2026 Frequency Bands paper is the closest conceptual competitor but provides diagnostics, not solutions.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field is moving toward production-scale validation (7B+), hybrid RoPE/NoPE architectures (Llama 4 iRoPE, RoNoPE), and content-aware PE (CARoPE, PaTH). EVQ-Cosh is positioned orthogonally: it improves the RoPE substrate itself, composing with inference methods (YaRN) and generalizing across architectures (MHA, MLA, DiT).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Simulated Reviewer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Likely Reviewer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NeurIPS Area Chairs will likely assign 3-4 reviewers with expertise in: (1) positional encodings / long-context methods, (2) variational methods / functional analysis, (3) Transformer architecture / training at scale. The paper needs to satisfy all three perspectives.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Expected Reviewer Reactions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Positive Reactions (Score Boosters)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Theory reviewer: </w:t>
      </w:r>
      <w:r>
        <w:rPr>
          <w:rFonts w:ascii="Arial" w:cs="Arial" w:eastAsia="Arial" w:hAnsi="Arial"/>
          <w:sz w:val="22"/>
          <w:szCs w:val="22"/>
        </w:rPr>
        <w:t xml:space="preserve">"Genuinely novel variational argument. Single approximation with explicit bounds. Clean closed-form. The cosh-arcsinh formula is elegant. Theorem 2 (geometric limit) is a nice structural result. 7-8/10."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 expert: </w:t>
      </w:r>
      <w:r>
        <w:rPr>
          <w:rFonts w:ascii="Arial" w:cs="Arial" w:eastAsia="Arial" w:hAnsi="Arial"/>
          <w:sz w:val="22"/>
          <w:szCs w:val="22"/>
        </w:rPr>
        <w:t xml:space="preserve">"First closed-form allocation that composes with YaRN. The 100% vs 61% passkey result with 6 seeds is convincing. MLA first-study claim is valuable. Cross-architecture (DiT) is unusual and welcome. 7/10."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reviewer: </w:t>
      </w:r>
      <w:r>
        <w:rPr>
          <w:rFonts w:ascii="Arial" w:cs="Arial" w:eastAsia="Arial" w:hAnsi="Arial"/>
          <w:sz w:val="22"/>
          <w:szCs w:val="22"/>
        </w:rPr>
        <w:t xml:space="preserve">"Comprehensive from-scratch study. 5 model scales, 99-run tau sweep, multi-seed core claims. Progressive training analysis is interesting. 6-7/10."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Negative Reactions (Score Reducers)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critic: </w:t>
      </w:r>
      <w:r>
        <w:rPr>
          <w:rFonts w:ascii="Arial" w:cs="Arial" w:eastAsia="Arial" w:hAnsi="Arial"/>
          <w:sz w:val="22"/>
          <w:szCs w:val="22"/>
        </w:rPr>
        <w:t xml:space="preserve">"All models are &lt;=750M. In 2026, no 7B+ results is a significant gap. LongRoPE, CREAM, YaRN all show 7B+ results. The authors argue from-scratch training at 750M is resource-intensive, which is true, but the gap remains. -1 to -2 points."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 skeptic: </w:t>
      </w:r>
      <w:r>
        <w:rPr>
          <w:rFonts w:ascii="Arial" w:cs="Arial" w:eastAsia="Arial" w:hAnsi="Arial"/>
          <w:sz w:val="22"/>
          <w:szCs w:val="22"/>
        </w:rPr>
        <w:t xml:space="preserve">"The PE track is extremely crowded. DAPE, CREAM, Frequency Bands, VideoRoPE, PaTH Attention, RoNoPE, CARoPE all published in 2024-2026. What makes this one essential? The theory is nice but improvements are modest in absolute terms (PPL still high at extrapolation). -0.5 to -1 point."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Rigor reviewer: </w:t>
      </w:r>
      <w:r>
        <w:rPr>
          <w:rFonts w:ascii="Arial" w:cs="Arial" w:eastAsia="Arial" w:hAnsi="Arial"/>
          <w:sz w:val="22"/>
          <w:szCs w:val="22"/>
        </w:rPr>
        <w:t xml:space="preserve">"The tau* formula is called a 'scaling law' but is empirically validated, not derived. The broadband surrogate needs more formal boundary analysis. Some supporting results are single-seed. Phase 17c Stages 2-3 lack multi-seed confirmation. -0.5 to -1 point."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Score Distribution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Reviewer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Likely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Factor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Theory-focused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7-8 /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Variational elegance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 expert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6-7 /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Crowded field concern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Scale-focused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 /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7B+ experiments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expert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7-8 /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MLA + DiT coverage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average score: 6.5-7.5 / 10, which places the paper in the accept range (NeurIPS typical threshold: 5.5-6.0 for poster, 7.0+ for spotlight).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V. Acceptance Probability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Factors Favoring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Closed-form variational theory (unique in field)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advantage; no competitor has this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approximation, everything else exact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Rare theoretical cleanliness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Geometric RoPE as tau=0 limit (strict generalization)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Elegant structural contribution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Cross-architecture: MHA + MLA + DiT (3 mechanisms)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Exceptional breadth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Multi-seed core claims (6-seed passkey, 3-seed MLA)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Meets NeurIPS reproducibility 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99-run tau*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Empirical but thorough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EVQ + YaRN composition (orthogonal mechanisms)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Practically impactful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MLA frequency allocation study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Novelty claim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model scales, 6 training lengths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Comprehensive 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Honest negative results documented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Scientific integrity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Factors Against Acceptance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&gt;=1B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by 2026 standards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Saturated PE track (6+ papers/year)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differentiate clearly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17c Stages 2-3 single-seed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Fixable before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tau* empirical, not derived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Fixable with honest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 LongBench negative (not in paper)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Wisely excluded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Absolute PPL still high at extreme extrapolation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Expected; relative gains matter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Synthetic video only for 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Stated in limitations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Probability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Spotlight / Oral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17c multi-seed confirms + AC loves theory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(poster)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state + P0 fixes (language, collision fig)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Borderline / Revise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critic on panel + no 7B bridge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scale critics + PE fatigue + bad reviewer draw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Combined acceptance probability: 60-75%.</w:t>
      </w:r>
      <w:r>
        <w:rPr>
          <w:rFonts w:ascii="Arial" w:cs="Arial" w:eastAsia="Arial" w:hAnsi="Arial"/>
          <w:sz w:val="22"/>
          <w:szCs w:val="22"/>
        </w:rPr>
        <w:t xml:space="preserve"> This reflects the paper's unique theoretical contribution, exceptional experimental breadth for a from-scratch study, and honest handling of limitations. The primary drag is the &lt;=750M scale ceiling in a field that increasingly expects 7B+ results.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VI. What Would Change the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Actions That Would Raise Probability to 75-85%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Phase 17c multi-seed confirmation (Stages 2-3): </w:t>
      </w:r>
      <w:r>
        <w:rPr>
          <w:rFonts w:ascii="Arial" w:cs="Arial" w:eastAsia="Arial" w:hAnsi="Arial"/>
          <w:sz w:val="22"/>
          <w:szCs w:val="22"/>
        </w:rPr>
        <w:t xml:space="preserve">If seeds 43/44 confirm the -52% to -81.2% progressive advantage, the strongest systems claim upgrades from B+ to A. This is the single highest-leverage action.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Collision-block negative result figure: </w:t>
      </w:r>
      <w:r>
        <w:rPr>
          <w:rFonts w:ascii="Arial" w:cs="Arial" w:eastAsia="Arial" w:hAnsi="Arial"/>
          <w:sz w:val="22"/>
          <w:szCs w:val="22"/>
        </w:rPr>
        <w:t xml:space="preserve">The base=10K failure is actually EVIDENCE for the theory. A clean figure with theoretical explanation turns a potential weakness into a strength.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Add Softmax Transport tau* derivation: </w:t>
      </w:r>
      <w:r>
        <w:rPr>
          <w:rFonts w:ascii="Arial" w:cs="Arial" w:eastAsia="Arial" w:hAnsi="Arial"/>
          <w:sz w:val="22"/>
          <w:szCs w:val="22"/>
        </w:rPr>
        <w:t xml:space="preserve">The 2026-03-23 document in docs/tau_algor/ provides a first-principles L^{-0.5} derivation. If polished and added as Proposition 4, this upgrades the tau* conjecture to a theorem.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Inference latency benchmark: </w:t>
      </w:r>
      <w:r>
        <w:rPr>
          <w:rFonts w:ascii="Arial" w:cs="Arial" w:eastAsia="Arial" w:hAnsi="Arial"/>
          <w:sz w:val="22"/>
          <w:szCs w:val="22"/>
        </w:rPr>
        <w:t xml:space="preserve">"Zero computational overhead" needs 3 lines of wall-clock data to be bulletproof.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Actions That Would Lower Probability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Overclaiming tau* as a "law": </w:t>
      </w:r>
      <w:r>
        <w:rPr>
          <w:rFonts w:ascii="Arial" w:cs="Arial" w:eastAsia="Arial" w:hAnsi="Arial"/>
          <w:sz w:val="22"/>
          <w:szCs w:val="22"/>
        </w:rPr>
        <w:t xml:space="preserve">If the paper calls it a scaling law without qualification, a rigor-focused reviewer will flag this as a major issue.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Phase 17c multi-seed fails: </w:t>
      </w:r>
      <w:r>
        <w:rPr>
          <w:rFonts w:ascii="Arial" w:cs="Arial" w:eastAsia="Arial" w:hAnsi="Arial"/>
          <w:sz w:val="22"/>
          <w:szCs w:val="22"/>
        </w:rPr>
        <w:t xml:space="preserve">If seeds 43/44 show different optimal tau or fail to replicate the progressive widening, the strongest systems narrative weakens significantly.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Ignoring the ICLR 2026 Frequency Bands paper: </w:t>
      </w:r>
      <w:r>
        <w:rPr>
          <w:rFonts w:ascii="Arial" w:cs="Arial" w:eastAsia="Arial" w:hAnsi="Arial"/>
          <w:sz w:val="22"/>
          <w:szCs w:val="22"/>
        </w:rPr>
        <w:t xml:space="preserve">This is the most directly related concurrent work. The related work section must engage with it carefully, showing that EVQ provides a solution where Frequency Bands provides diagnosis.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VII. Comparison with Recent Accepted PE Papers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DAPE (N'24)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CREAM (N'24)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RoNoPE (N'25)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FreqBands (I'26)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Empirical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7B+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EVQ-Cosh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750M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MHA+MLA+DiT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Poster/Spot?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EVQ-Cosh has the strongest theory and broadest architecture coverage among PE papers, but the weakest model scale. The theory advantage is substantial: no other paper offers a closed-form variational solution. The architecture breadth (MHA + MLA + DiT) is unique. The scale gap is real but mitigated by the from-scratch training paradigm, which requires 5-10x more compute per experiment than fine-tuning.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VIII. Pre-Submission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Critical (Before May 6 Deadline)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tau* language: </w:t>
      </w:r>
      <w:r>
        <w:rPr>
          <w:rFonts w:ascii="Arial" w:cs="Arial" w:eastAsia="Arial" w:hAnsi="Arial"/>
          <w:sz w:val="22"/>
          <w:szCs w:val="22"/>
        </w:rPr>
        <w:t xml:space="preserve">Replace all instances of "scaling law" with "empirical scaling conjecture" throughout. Add: "We do not derive tau* from first principles; its theoretical status remains open." Effort: 1 hour.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Phase 17c multi-seed: </w:t>
      </w:r>
      <w:r>
        <w:rPr>
          <w:rFonts w:ascii="Arial" w:cs="Arial" w:eastAsia="Arial" w:hAnsi="Arial"/>
          <w:sz w:val="22"/>
          <w:szCs w:val="22"/>
        </w:rPr>
        <w:t xml:space="preserve">Run seeds 43/44 through Stages 2-3. This is the single highest-ROI experiment remaining. Effort: 1-2 weeks GPU.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collision-block figure: </w:t>
      </w:r>
      <w:r>
        <w:rPr>
          <w:rFonts w:ascii="Arial" w:cs="Arial" w:eastAsia="Arial" w:hAnsi="Arial"/>
          <w:sz w:val="22"/>
          <w:szCs w:val="22"/>
        </w:rPr>
        <w:t xml:space="preserve">Phase 18 data exists. Plot base vs collision fraction with theory overlay. Turns negative result into theory confirmation. Effort: 2-3 hours.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 ICLR 2026 Frequency Bands paper: </w:t>
      </w:r>
      <w:r>
        <w:rPr>
          <w:rFonts w:ascii="Arial" w:cs="Arial" w:eastAsia="Arial" w:hAnsi="Arial"/>
          <w:sz w:val="22"/>
          <w:szCs w:val="22"/>
        </w:rPr>
        <w:t xml:space="preserve">Add 2-3 sentences in Related Work positioning EVQ as providing the solution (closed-form allocation) where Frequency Bands provides the diagnosis (frequency band identification). Effort: 30 minutes.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High Value (If Time Permits)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Polish Softmax Transport derivation: </w:t>
      </w:r>
      <w:r>
        <w:rPr>
          <w:rFonts w:ascii="Arial" w:cs="Arial" w:eastAsia="Arial" w:hAnsi="Arial"/>
          <w:sz w:val="22"/>
          <w:szCs w:val="22"/>
        </w:rPr>
        <w:t xml:space="preserve">The L^{-0.5} first-principles derivation in docs/tau_algor/ is a genuine theoretical advance. If polished into Proposition 4, it upgrades the paper's theoretical contribution substantially. Effort: 4-6 hours.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inference latency benchmark: </w:t>
      </w:r>
      <w:r>
        <w:rPr>
          <w:rFonts w:ascii="Arial" w:cs="Arial" w:eastAsia="Arial" w:hAnsi="Arial"/>
          <w:sz w:val="22"/>
          <w:szCs w:val="22"/>
        </w:rPr>
        <w:t xml:space="preserve">10-run wall-clock comparison at seq_len=8K. Expected result: negligible overhead. Effort: 1-2 hours.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Formalize broadband surrogate as Lemma: </w:t>
      </w:r>
      <w:r>
        <w:rPr>
          <w:rFonts w:ascii="Arial" w:cs="Arial" w:eastAsia="Arial" w:hAnsi="Arial"/>
          <w:sz w:val="22"/>
          <w:szCs w:val="22"/>
        </w:rPr>
        <w:t xml:space="preserve">State explicit boundary conditions. Effort: 2 hours.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Presentation Polish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Emphasize theory-first narrative: </w:t>
      </w:r>
      <w:r>
        <w:rPr>
          <w:rFonts w:ascii="Arial" w:cs="Arial" w:eastAsia="Arial" w:hAnsi="Arial"/>
          <w:sz w:val="22"/>
          <w:szCs w:val="22"/>
        </w:rPr>
        <w:t xml:space="preserve">The paper's strength is theoretical, not benchmark-driven. Ensure the introduction and abstract lead with "first closed-form variational solution" rather than PPL numbers.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Reframe from-scratch training as strength: </w:t>
      </w:r>
      <w:r>
        <w:rPr>
          <w:rFonts w:ascii="Arial" w:cs="Arial" w:eastAsia="Arial" w:hAnsi="Arial"/>
          <w:sz w:val="22"/>
          <w:szCs w:val="22"/>
        </w:rPr>
        <w:t xml:space="preserve">Explicitly state: "From-scratch training isolates the frequency allocation effect from pre-existing model capabilities, providing cleaner causal evidence than fine-tuning studies."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Highlight MLA first-study claim: </w:t>
      </w:r>
      <w:r>
        <w:rPr>
          <w:rFonts w:ascii="Arial" w:cs="Arial" w:eastAsia="Arial" w:hAnsi="Arial"/>
          <w:sz w:val="22"/>
          <w:szCs w:val="22"/>
        </w:rPr>
        <w:t xml:space="preserve">In 2026, MLA (DeepSeek-V2/V3) is a production architecture. Being the first to study RoPE frequency allocation on MLA is a genuine novelty that reviewers will appreciate.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EVQ-Cosh is a genuinely strong submission with a unique theoretical contribution, exceptional experimental breadth, and honest scientific reporting. The 60-75% acceptance probability reflects: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Upside: </w:t>
      </w:r>
      <w:r>
        <w:rPr>
          <w:rFonts w:ascii="Arial" w:cs="Arial" w:eastAsia="Arial" w:hAnsi="Arial"/>
          <w:sz w:val="22"/>
          <w:szCs w:val="22"/>
        </w:rPr>
        <w:t xml:space="preserve">The closed-form variational theory is unmatched in the PE literature. Cross-architecture validation (MHA + MLA + DiT) is unique. Multi-seed core evidence is solid. The paper fills a real gap between inference-time methods (YaRN) and the training-time substrate.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Downside: </w:t>
      </w:r>
      <w:r>
        <w:rPr>
          <w:rFonts w:ascii="Arial" w:cs="Arial" w:eastAsia="Arial" w:hAnsi="Arial"/>
          <w:sz w:val="22"/>
          <w:szCs w:val="22"/>
        </w:rPr>
        <w:t xml:space="preserve">The PE track is crowded. No &gt;=1B experiments. Some supporting results are single-seed. The tau* formula is empirical. These are real concerns but none are fatal.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paper's best path to acceptance is: lean into the theory, complete Phase 17c multi-seed, fix terminology precision, and clearly engage with the 2025-2026 competitive landscape. With these actions, the probability rises to 70-80% and spotlight becomes plausible.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Assessment.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EVQ-Cosh NeurIPS 2026 Assessment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2026-03-24T03:25:17.074Z</dcterms:created>
  <dcterms:modified xsi:type="dcterms:W3CDTF">2026-03-24T03:25:17.074Z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