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4E79"/>
          <w:sz w:val="52"/>
          <w:szCs w:val="52"/>
        </w:rPr>
        <w:t xml:space="preserve">EVQ-Cosh</w:t>
      </w:r>
    </w:p>
    <w:p>
      <w:pPr>
        <w:spacing w:after="120"/>
        <w:jc w:val="center"/>
      </w:pPr>
      <w:r>
        <w:rPr>
          <w:rFonts w:ascii="Arial" w:cs="Arial" w:eastAsia="Arial" w:hAnsi="Arial"/>
          <w:color w:val="555555"/>
          <w:sz w:val="36"/>
          <w:szCs w:val="36"/>
        </w:rPr>
        <w:t xml:space="preserve">Positional Encoding Landscape Analysis</w:t>
      </w:r>
    </w:p>
    <w:p>
      <w:pPr>
        <w:spacing w:after="80"/>
        <w:jc w:val="center"/>
      </w:pPr>
      <w:r>
        <w:rPr>
          <w:rFonts w:ascii="Arial" w:cs="Arial" w:eastAsia="Arial" w:hAnsi="Arial"/>
          <w:color w:val="777777"/>
          <w:sz w:val="28"/>
          <w:szCs w:val="28"/>
        </w:rPr>
        <w:t xml:space="preserve">&amp; Competitive Positioning for NeurIPS 2026</w:t>
      </w:r>
    </w:p>
    <w:p>
      <w:pPr>
        <w:spacing w:after="600"/>
      </w:pPr>
    </w:p>
    <w:p>
      <w:pPr>
        <w:spacing w:after="60"/>
        <w:jc w:val="center"/>
      </w:pPr>
      <w:r>
        <w:rPr>
          <w:rFonts w:ascii="Arial" w:cs="Arial" w:eastAsia="Arial" w:hAnsi="Arial"/>
          <w:i/>
          <w:iCs/>
          <w:color w:val="999999"/>
          <w:sz w:val="22"/>
          <w:szCs w:val="22"/>
        </w:rPr>
        <w:t xml:space="preserve">Internal Technical Report</w:t>
      </w:r>
    </w:p>
    <w:p>
      <w:pPr>
        <w:spacing w:after="60"/>
        <w:jc w:val="center"/>
      </w:pPr>
      <w:r>
        <w:rPr>
          <w:rFonts w:ascii="Arial" w:cs="Arial" w:eastAsia="Arial" w:hAnsi="Arial"/>
          <w:color w:val="999999"/>
          <w:sz w:val="22"/>
          <w:szCs w:val="22"/>
        </w:rPr>
        <w:t xml:space="preserve">March 2026</w:t>
      </w:r>
    </w:p>
    <w:p>
      <w:r>
        <w:br w:type="page"/>
      </w:r>
    </w:p>
    <w:p>
      <w:pPr>
        <w:pStyle w:val="Heading1"/>
        <w:spacing w:before="360" w:after="200"/>
      </w:pPr>
      <w:r>
        <w:rPr>
          <w:rFonts w:ascii="Arial" w:cs="Arial" w:eastAsia="Arial" w:hAnsi="Arial"/>
          <w:b/>
          <w:bCs/>
          <w:color w:val="1F4E79"/>
          <w:sz w:val="32"/>
          <w:szCs w:val="32"/>
        </w:rPr>
        <w:t xml:space="preserve">1  Executive Summary</w:t>
      </w:r>
    </w:p>
    <w:p>
      <w:pPr>
        <w:spacing w:after="160" w:before="0" w:line="276"/>
      </w:pPr>
      <w:r>
        <w:rPr>
          <w:rFonts w:ascii="Arial" w:cs="Arial" w:eastAsia="Arial" w:hAnsi="Arial"/>
          <w:color w:val="333333"/>
          <w:sz w:val="20"/>
          <w:szCs w:val="20"/>
        </w:rPr>
        <w:t xml:space="preserve">This report surveys the PE (Positional Encoding) landscape from 2024 to early 2026, covering all major published and preprint works across four research tracks. We position our work, </w:t>
      </w:r>
      <w:r>
        <w:rPr>
          <w:rFonts w:ascii="Arial" w:cs="Arial" w:eastAsia="Arial" w:hAnsi="Arial"/>
          <w:b/>
          <w:bCs/>
          <w:color w:val="333333"/>
          <w:sz w:val="20"/>
          <w:szCs w:val="20"/>
        </w:rPr>
        <w:t xml:space="preserve">EVQ-Cosh</w:t>
      </w:r>
      <w:r>
        <w:rPr>
          <w:rFonts w:ascii="Arial" w:cs="Arial" w:eastAsia="Arial" w:hAnsi="Arial"/>
          <w:color w:val="333333"/>
          <w:sz w:val="20"/>
          <w:szCs w:val="20"/>
        </w:rPr>
        <w:t xml:space="preserve">, within this landscape and assess its competitive strength for a NeurIPS 2026 submission.</w:t>
      </w:r>
    </w:p>
    <w:p>
      <w:pPr>
        <w:spacing w:after="160" w:before="0" w:line="276"/>
      </w:pPr>
      <w:r>
        <w:rPr>
          <w:rFonts w:ascii="Arial" w:cs="Arial" w:eastAsia="Arial" w:hAnsi="Arial"/>
          <w:b/>
          <w:bCs/>
          <w:color w:val="333333"/>
          <w:sz w:val="20"/>
          <w:szCs w:val="20"/>
        </w:rPr>
        <w:t xml:space="preserve">Core finding: </w:t>
      </w:r>
      <w:r>
        <w:rPr>
          <w:rFonts w:ascii="Arial" w:cs="Arial" w:eastAsia="Arial" w:hAnsi="Arial"/>
          <w:color w:val="333333"/>
          <w:sz w:val="20"/>
          <w:szCs w:val="20"/>
        </w:rPr>
        <w:t xml:space="preserve">EVQ occupies a unique position as the </w:t>
      </w:r>
      <w:r>
        <w:rPr>
          <w:rFonts w:ascii="Arial" w:cs="Arial" w:eastAsia="Arial" w:hAnsi="Arial"/>
          <w:b/>
          <w:bCs/>
          <w:i/>
          <w:iCs/>
          <w:color w:val="333333"/>
          <w:sz w:val="20"/>
          <w:szCs w:val="20"/>
        </w:rPr>
        <w:t xml:space="preserve">only closed-form variational solution</w:t>
      </w:r>
      <w:r>
        <w:rPr>
          <w:rFonts w:ascii="Arial" w:cs="Arial" w:eastAsia="Arial" w:hAnsi="Arial"/>
          <w:color w:val="333333"/>
          <w:sz w:val="20"/>
          <w:szCs w:val="20"/>
        </w:rPr>
        <w:t xml:space="preserve"> for RoPE frequency allocation. In the from-scratch PE design track, EVQ represents a significant upgrade over DAPE (NeurIPS 2024) and FIRE (ICLR 2024) in theory depth, experimental scale, and statistical rigor. Its theory contribution ranks among the strongest in the entire PE field, alongside </w:t>
      </w:r>
      <w:r>
        <w:rPr>
          <w:rFonts w:ascii="Arial" w:cs="Arial" w:eastAsia="Arial" w:hAnsi="Arial"/>
          <w:i/>
          <w:iCs/>
          <w:color w:val="333333"/>
          <w:sz w:val="20"/>
          <w:szCs w:val="20"/>
        </w:rPr>
        <w:t xml:space="preserve">Round and Round We Go</w:t>
      </w:r>
      <w:r>
        <w:rPr>
          <w:rFonts w:ascii="Arial" w:cs="Arial" w:eastAsia="Arial" w:hAnsi="Arial"/>
          <w:color w:val="333333"/>
          <w:sz w:val="20"/>
          <w:szCs w:val="20"/>
        </w:rPr>
        <w:t xml:space="preserve"> (ICLR 2025). Additionally, EVQ generalizes beyond text: preliminary video temporal experiments show the same EVQ+YaRN synergy pattern, suggesting cross-modal applicability with zero architecture changes.</w:t>
      </w:r>
    </w:p>
    <w:p>
      <w:r>
        <w:br w:type="page"/>
      </w:r>
    </w:p>
    <w:p>
      <w:pPr>
        <w:pStyle w:val="Heading1"/>
        <w:spacing w:before="360" w:after="200"/>
      </w:pPr>
      <w:r>
        <w:rPr>
          <w:rFonts w:ascii="Arial" w:cs="Arial" w:eastAsia="Arial" w:hAnsi="Arial"/>
          <w:b/>
          <w:bCs/>
          <w:color w:val="1F4E79"/>
          <w:sz w:val="32"/>
          <w:szCs w:val="32"/>
        </w:rPr>
        <w:t xml:space="preserve">2  PE Research Landscape (2024–2026)</w:t>
      </w:r>
    </w:p>
    <w:p>
      <w:pPr>
        <w:spacing w:after="160" w:before="0" w:line="276"/>
      </w:pPr>
      <w:r>
        <w:rPr>
          <w:rFonts w:ascii="Arial" w:cs="Arial" w:eastAsia="Arial" w:hAnsi="Arial"/>
          <w:color w:val="333333"/>
          <w:sz w:val="20"/>
          <w:szCs w:val="20"/>
        </w:rPr>
        <w:t xml:space="preserve">We identify four distinct research tracks in the PE field. Each addresses a different aspect of how position information is encoded and extended in modern LLMs.</w:t>
      </w:r>
    </w:p>
    <w:p>
      <w:pPr>
        <w:pStyle w:val="Heading2"/>
        <w:spacing w:before="280" w:after="160"/>
      </w:pPr>
      <w:r>
        <w:rPr>
          <w:rFonts w:ascii="Arial" w:cs="Arial" w:eastAsia="Arial" w:hAnsi="Arial"/>
          <w:b/>
          <w:bCs/>
          <w:color w:val="2E5A88"/>
          <w:sz w:val="26"/>
          <w:szCs w:val="26"/>
        </w:rPr>
        <w:t xml:space="preserve">2.1  Inference-Time Repair (Training-Free / Fine-Tune-Light)</w:t>
      </w:r>
    </w:p>
    <w:p>
      <w:pPr>
        <w:spacing w:after="160" w:before="0" w:line="276"/>
      </w:pPr>
      <w:r>
        <w:rPr>
          <w:rFonts w:ascii="Arial" w:cs="Arial" w:eastAsia="Arial" w:hAnsi="Arial"/>
          <w:color w:val="333333"/>
          <w:sz w:val="20"/>
          <w:szCs w:val="20"/>
        </w:rPr>
        <w:t xml:space="preserve">These methods accept pre-trained models with Geometric RoPE and modify position encodings at inference time or with minimal fine-tuning. They are the most practically deployed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Paper</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Venue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Idea</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YaRN</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ICLR 2024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NTK-by-parts + temp scaling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Interpolate high-freq less, low-freq more; 128K+ with &lt;0.1% pre-train data</w:t>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LongRoPE</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ICML 2024</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Evolutionary per-dim rescale</w:t>
            </w:r>
          </w:p>
        </w:tc>
        <w:tc>
          <w:tcPr>
            <w:tcW w:type="dxa" w:w="4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Non-uniform rescaling via search; progressive to 2048K; deployed in Phi-3</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STRING</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ICLR 2025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Position index shifting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Replace under-trained tail positions; +10pts on RULER for Llama3.1 70B</w:t>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CREAM</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NeurIPS 2024</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Truncated Gaussian indexing</w:t>
            </w:r>
          </w:p>
        </w:tc>
        <w:tc>
          <w:tcPr>
            <w:tcW w:type="dxa" w:w="4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Gaussian middle-focus to fix lost-in-the-middle; training-efficient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LongRoPE2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Preprint 2025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Evo search + mixed window</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128K with 98.5% short-context retention; 80x fewer tokens than Meta</w:t>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LaMPE</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Preprint 2025</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Parametric sigmoid rescale</w:t>
            </w:r>
          </w:p>
        </w:tc>
        <w:tc>
          <w:tcPr>
            <w:tcW w:type="dxa" w:w="4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Length-aware dynamic reallocation; adaptive across input lengths</w:t>
            </w:r>
          </w:p>
        </w:tc>
      </w:tr>
    </w:tbl>
    <w:p>
      <w:pPr>
        <w:spacing w:after="120"/>
      </w:pPr>
    </w:p>
    <w:p>
      <w:pPr>
        <w:pStyle w:val="Heading2"/>
        <w:spacing w:before="280" w:after="160"/>
      </w:pPr>
      <w:r>
        <w:rPr>
          <w:rFonts w:ascii="Arial" w:cs="Arial" w:eastAsia="Arial" w:hAnsi="Arial"/>
          <w:b/>
          <w:bCs/>
          <w:color w:val="2E5A88"/>
          <w:sz w:val="26"/>
          <w:szCs w:val="26"/>
        </w:rPr>
        <w:t xml:space="preserve">2.2  From-Scratch PE Design (Our Track)</w:t>
      </w:r>
    </w:p>
    <w:p>
      <w:pPr>
        <w:spacing w:after="160" w:before="0" w:line="276"/>
      </w:pPr>
      <w:r>
        <w:rPr>
          <w:rFonts w:ascii="Arial" w:cs="Arial" w:eastAsia="Arial" w:hAnsi="Arial"/>
          <w:color w:val="333333"/>
          <w:sz w:val="20"/>
          <w:szCs w:val="20"/>
        </w:rPr>
        <w:t xml:space="preserve">These methods redesign the PE from the ground up and train models from scratch. This is the track where EVQ competes directly. The maximum model scale in this track is typically 350M–750M, with DAPE and FIRE as the two most recent accepted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1000"/>
        <w:gridCol w:w="1800"/>
        <w:gridCol w:w="2560"/>
      </w:tblGrid>
      <w:t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Paper</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Venue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Scale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Downstream</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Theory</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FIRE</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ICLR 2024</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MLP implicit mapping</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350M</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SCROLLS + GLUE + SuperGLUE</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Medium (empirical)</w:t>
            </w:r>
          </w:p>
        </w:tc>
      </w:tr>
      <w:tr>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DAPE</w:t>
            </w:r>
          </w:p>
        </w:tc>
        <w:tc>
          <w:tcPr>
            <w:tcW w:type="dxa" w:w="13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NeurIPS 2024</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MLP adaptive PE</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350M</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CHE algorithmic reasoning</w:t>
            </w:r>
          </w:p>
        </w:tc>
        <w:tc>
          <w:tcPr>
            <w:tcW w:type="dxa" w:w="2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Medium (empirical)</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ALiBi</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ICLR 2022</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Linear decay bias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1.3B</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PPL only</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F4E79"/>
                <w:sz w:val="18"/>
                <w:szCs w:val="18"/>
              </w:rPr>
              <w:t xml:space="preserve">EVQ (Ours)</w:t>
            </w:r>
          </w:p>
        </w:tc>
        <w:tc>
          <w:tcPr>
            <w:tcW w:type="dxa" w:w="13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Target NeurIPS 2026</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Variational closed-form</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750M (5 scales)</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PPL + Passkey + Video</w:t>
            </w:r>
          </w:p>
        </w:tc>
        <w:tc>
          <w:tcPr>
            <w:tcW w:type="dxa" w:w="2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Very strong (formal)</w:t>
            </w:r>
          </w:p>
        </w:tc>
      </w:tr>
    </w:tbl>
    <w:p>
      <w:pPr>
        <w:spacing w:after="120"/>
      </w:pPr>
    </w:p>
    <w:p>
      <w:pPr>
        <w:pStyle w:val="Heading2"/>
        <w:spacing w:before="280" w:after="160"/>
      </w:pPr>
      <w:r>
        <w:rPr>
          <w:rFonts w:ascii="Arial" w:cs="Arial" w:eastAsia="Arial" w:hAnsi="Arial"/>
          <w:b/>
          <w:bCs/>
          <w:color w:val="2E5A88"/>
          <w:sz w:val="26"/>
          <w:szCs w:val="26"/>
        </w:rPr>
        <w:t xml:space="preserve">2.3  RoPE Theoretical Analysis</w:t>
      </w:r>
    </w:p>
    <w:p>
      <w:pPr>
        <w:spacing w:after="160" w:before="0" w:line="276"/>
      </w:pPr>
      <w:r>
        <w:rPr>
          <w:rFonts w:ascii="Arial" w:cs="Arial" w:eastAsia="Arial" w:hAnsi="Arial"/>
          <w:color w:val="333333"/>
          <w:sz w:val="20"/>
          <w:szCs w:val="20"/>
        </w:rPr>
        <w:t xml:space="preserve">These works analyze how RoPE functions mechanistically inside trained models, rather than proposing new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Paper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Venue</w:t>
            </w:r>
          </w:p>
        </w:tc>
        <w:tc>
          <w:tcPr>
            <w:tcW w:type="dxa" w:w="5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Core Contribution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Round and Round We Go</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ICLR 2025</w:t>
            </w:r>
          </w:p>
        </w:tc>
        <w:tc>
          <w:tcPr>
            <w:tcW w:type="dxa" w:w="52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Gemma 7B internals: high-freq for positional attention, low-freq for semantics; distance decay is NOT the core reason RoPE works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What RoPE Can Tell Us</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NeurIPS 2024</w:t>
            </w:r>
          </w:p>
        </w:tc>
        <w:tc>
          <w:tcPr>
            <w:tcW w:type="dxa" w:w="52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Identifies syntactic vs semantic dimensions in Q/K weights corresponding to RoPE frequencies</w:t>
            </w:r>
          </w:p>
        </w:tc>
      </w:tr>
    </w:tbl>
    <w:p>
      <w:pPr>
        <w:spacing w:after="120"/>
      </w:pPr>
    </w:p>
    <w:p>
      <w:pPr>
        <w:pStyle w:val="Heading2"/>
        <w:spacing w:before="280" w:after="160"/>
      </w:pPr>
      <w:r>
        <w:rPr>
          <w:rFonts w:ascii="Arial" w:cs="Arial" w:eastAsia="Arial" w:hAnsi="Arial"/>
          <w:b/>
          <w:bCs/>
          <w:color w:val="2E5A88"/>
          <w:sz w:val="26"/>
          <w:szCs w:val="26"/>
        </w:rPr>
        <w:t xml:space="preserve">2.4  Training Strategy &amp; Emerging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Paper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Venue</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Relevance to EVQ</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SkyLadder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NeurIPS 2025</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Validates progressive short→long training; EVQ + progressive shows superlinear amplification</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SRoPE (Selective RoPE)</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Under review 2025</w:t>
            </w:r>
          </w:p>
        </w:tc>
        <w:tc>
          <w:tcPr>
            <w:tcW w:type="dxa" w:w="5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Input-dependent rotation; different approach (learned vs our closed-form)</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CARoPE (Context-Aware)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Preprint 2025</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Dynamic head-specific frequencies; learnable, more parameters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ComRoPE</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Preprint 2025</w:t>
            </w:r>
          </w:p>
        </w:tc>
        <w:tc>
          <w:tcPr>
            <w:tcW w:type="dxa" w:w="5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Trainable commuting angle matrices; parametric approach</w:t>
            </w:r>
          </w:p>
        </w:tc>
      </w:tr>
    </w:tbl>
    <w:p>
      <w:r>
        <w:br w:type="page"/>
      </w:r>
    </w:p>
    <w:p>
      <w:pPr>
        <w:pStyle w:val="Heading1"/>
        <w:spacing w:before="360" w:after="200"/>
      </w:pPr>
      <w:r>
        <w:rPr>
          <w:rFonts w:ascii="Arial" w:cs="Arial" w:eastAsia="Arial" w:hAnsi="Arial"/>
          <w:b/>
          <w:bCs/>
          <w:color w:val="1F4E79"/>
          <w:sz w:val="32"/>
          <w:szCs w:val="32"/>
        </w:rPr>
        <w:t xml:space="preserve">3  EVQ Competitive Positioning</w:t>
      </w:r>
    </w:p>
    <w:p>
      <w:pPr>
        <w:pStyle w:val="Heading2"/>
        <w:spacing w:before="280" w:after="160"/>
      </w:pPr>
      <w:r>
        <w:rPr>
          <w:rFonts w:ascii="Arial" w:cs="Arial" w:eastAsia="Arial" w:hAnsi="Arial"/>
          <w:b/>
          <w:bCs/>
          <w:color w:val="2E5A88"/>
          <w:sz w:val="26"/>
          <w:szCs w:val="26"/>
        </w:rPr>
        <w:t xml:space="preserve">3.1  Unique Position in the Field</w:t>
      </w:r>
    </w:p>
    <w:p>
      <w:pPr>
        <w:spacing w:after="160" w:before="0" w:line="276"/>
      </w:pPr>
      <w:r>
        <w:rPr>
          <w:rFonts w:ascii="Arial" w:cs="Arial" w:eastAsia="Arial" w:hAnsi="Arial"/>
          <w:b/>
          <w:bCs/>
          <w:color w:val="333333"/>
          <w:sz w:val="20"/>
          <w:szCs w:val="20"/>
        </w:rPr>
        <w:t xml:space="preserve">EVQ is the </w:t>
      </w:r>
      <w:r>
        <w:rPr>
          <w:rFonts w:ascii="Arial" w:cs="Arial" w:eastAsia="Arial" w:hAnsi="Arial"/>
          <w:b/>
          <w:bCs/>
          <w:color w:val="1F4E79"/>
          <w:sz w:val="20"/>
          <w:szCs w:val="20"/>
        </w:rPr>
        <w:t xml:space="preserve">only closed-form variational solution for RoPE frequency allocation</w:t>
      </w:r>
      <w:r>
        <w:rPr>
          <w:rFonts w:ascii="Arial" w:cs="Arial" w:eastAsia="Arial" w:hAnsi="Arial"/>
          <w:color w:val="333333"/>
          <w:sz w:val="20"/>
          <w:szCs w:val="20"/>
        </w:rPr>
        <w:t xml:space="preserve">. This creates a fundamentally different positioning from every other method:</w:t>
      </w:r>
    </w:p>
    <w:p>
      <w:pPr>
        <w:pStyle w:val="Heading3"/>
        <w:spacing w:before="200" w:after="120"/>
      </w:pPr>
      <w:r>
        <w:rPr>
          <w:rFonts w:ascii="Arial" w:cs="Arial" w:eastAsia="Arial" w:hAnsi="Arial"/>
          <w:b/>
          <w:bCs/>
          <w:color w:val="3A6EA5"/>
          <w:sz w:val="22"/>
          <w:szCs w:val="22"/>
        </w:rPr>
        <w:t xml:space="preserve">vs Inference-Time Repair (YaRN / LongRoPE / STRING)</w:t>
      </w:r>
    </w:p>
    <w:p>
      <w:pPr>
        <w:spacing w:after="160" w:before="0" w:line="276"/>
      </w:pPr>
      <w:r>
        <w:rPr>
          <w:rFonts w:ascii="Arial" w:cs="Arial" w:eastAsia="Arial" w:hAnsi="Arial"/>
          <w:color w:val="333333"/>
          <w:sz w:val="20"/>
          <w:szCs w:val="20"/>
        </w:rPr>
        <w:t xml:space="preserve">These methods all post-process models trained with Geometric RoPE. EVQ optimizes at </w:t>
      </w:r>
      <w:r>
        <w:rPr>
          <w:rFonts w:ascii="Arial" w:cs="Arial" w:eastAsia="Arial" w:hAnsi="Arial"/>
          <w:b/>
          <w:bCs/>
          <w:color w:val="333333"/>
          <w:sz w:val="20"/>
          <w:szCs w:val="20"/>
        </w:rPr>
        <w:t xml:space="preserve">training time</w:t>
      </w:r>
      <w:r>
        <w:rPr>
          <w:rFonts w:ascii="Arial" w:cs="Arial" w:eastAsia="Arial" w:hAnsi="Arial"/>
          <w:color w:val="333333"/>
          <w:sz w:val="20"/>
          <w:szCs w:val="20"/>
        </w:rPr>
        <w:t xml:space="preserve">. Phase 17b proves that after progressive training, EVQ raw surpasses EVQ+YaRN (PPL@16K: 11.2 vs 16.8), demonstrating that </w:t>
      </w:r>
      <w:r>
        <w:rPr>
          <w:rFonts w:ascii="Arial" w:cs="Arial" w:eastAsia="Arial" w:hAnsi="Arial"/>
          <w:b/>
          <w:bCs/>
          <w:color w:val="333333"/>
          <w:sz w:val="20"/>
          <w:szCs w:val="20"/>
        </w:rPr>
        <w:t xml:space="preserve">training-time optimization is more fundamental than inference-time repair</w:t>
      </w:r>
      <w:r>
        <w:rPr>
          <w:rFonts w:ascii="Arial" w:cs="Arial" w:eastAsia="Arial" w:hAnsi="Arial"/>
          <w:color w:val="333333"/>
          <w:sz w:val="20"/>
          <w:szCs w:val="20"/>
        </w:rPr>
        <w:t xml:space="preserve">. Moreover, EVQ+YaRN is the strongest known combination: PPL=2.63 at 24× training length.</w:t>
      </w:r>
    </w:p>
    <w:p>
      <w:pPr>
        <w:pStyle w:val="Heading3"/>
        <w:spacing w:before="200" w:after="120"/>
      </w:pPr>
      <w:r>
        <w:rPr>
          <w:rFonts w:ascii="Arial" w:cs="Arial" w:eastAsia="Arial" w:hAnsi="Arial"/>
          <w:b/>
          <w:bCs/>
          <w:color w:val="3A6EA5"/>
          <w:sz w:val="22"/>
          <w:szCs w:val="22"/>
        </w:rPr>
        <w:t xml:space="preserve">vs Learnable PE (DAPE / FIRE / CARoPE)</w:t>
      </w:r>
    </w:p>
    <w:p>
      <w:pPr>
        <w:spacing w:after="160" w:before="0" w:line="276"/>
      </w:pPr>
      <w:r>
        <w:rPr>
          <w:rFonts w:ascii="Arial" w:cs="Arial" w:eastAsia="Arial" w:hAnsi="Arial"/>
          <w:color w:val="333333"/>
          <w:sz w:val="20"/>
          <w:szCs w:val="20"/>
        </w:rPr>
        <w:t xml:space="preserve">These use MLPs to learn PE, introducing extra parameters. EVQ is </w:t>
      </w:r>
      <w:r>
        <w:rPr>
          <w:rFonts w:ascii="Arial" w:cs="Arial" w:eastAsia="Arial" w:hAnsi="Arial"/>
          <w:b/>
          <w:bCs/>
          <w:color w:val="333333"/>
          <w:sz w:val="20"/>
          <w:szCs w:val="20"/>
        </w:rPr>
        <w:t xml:space="preserve">0 extra parameters</w:t>
      </w:r>
      <w:r>
        <w:rPr>
          <w:rFonts w:ascii="Arial" w:cs="Arial" w:eastAsia="Arial" w:hAnsi="Arial"/>
          <w:color w:val="333333"/>
          <w:sz w:val="20"/>
          <w:szCs w:val="20"/>
        </w:rPr>
        <w:t xml:space="preserve">, and in DAPE-style extreme extrapolation, EVQ directly wins (PPL@8K: 333.7 vs 455.3). Theoretically, Geometric RoPE is the τ=0 degenerate point of the EVQ family—our framework </w:t>
      </w:r>
      <w:r>
        <w:rPr>
          <w:rFonts w:ascii="Arial" w:cs="Arial" w:eastAsia="Arial" w:hAnsi="Arial"/>
          <w:b/>
          <w:bCs/>
          <w:color w:val="333333"/>
          <w:sz w:val="20"/>
          <w:szCs w:val="20"/>
        </w:rPr>
        <w:t xml:space="preserve">subsumes all prior RoPE designs</w:t>
      </w:r>
      <w:r>
        <w:rPr>
          <w:rFonts w:ascii="Arial" w:cs="Arial" w:eastAsia="Arial" w:hAnsi="Arial"/>
          <w:color w:val="333333"/>
          <w:sz w:val="20"/>
          <w:szCs w:val="20"/>
        </w:rPr>
        <w:t xml:space="preserve">.</w:t>
      </w:r>
    </w:p>
    <w:p>
      <w:pPr>
        <w:pStyle w:val="Heading3"/>
        <w:spacing w:before="200" w:after="120"/>
      </w:pPr>
      <w:r>
        <w:rPr>
          <w:rFonts w:ascii="Arial" w:cs="Arial" w:eastAsia="Arial" w:hAnsi="Arial"/>
          <w:b/>
          <w:bCs/>
          <w:color w:val="3A6EA5"/>
          <w:sz w:val="22"/>
          <w:szCs w:val="22"/>
        </w:rPr>
        <w:t xml:space="preserve">vs RoPE Theory (Round and Round We Go)</w:t>
      </w:r>
    </w:p>
    <w:p>
      <w:pPr>
        <w:spacing w:after="160" w:before="0" w:line="276"/>
      </w:pPr>
      <w:r>
        <w:rPr>
          <w:rFonts w:ascii="Arial" w:cs="Arial" w:eastAsia="Arial" w:hAnsi="Arial"/>
          <w:color w:val="333333"/>
          <w:sz w:val="20"/>
          <w:szCs w:val="20"/>
        </w:rPr>
        <w:t xml:space="preserve">They analyze </w:t>
      </w:r>
      <w:r>
        <w:rPr>
          <w:rFonts w:ascii="Arial" w:cs="Arial" w:eastAsia="Arial" w:hAnsi="Arial"/>
          <w:i/>
          <w:iCs/>
          <w:color w:val="333333"/>
          <w:sz w:val="20"/>
          <w:szCs w:val="20"/>
        </w:rPr>
        <w:t xml:space="preserve">how</w:t>
      </w:r>
      <w:r>
        <w:rPr>
          <w:rFonts w:ascii="Arial" w:cs="Arial" w:eastAsia="Arial" w:hAnsi="Arial"/>
          <w:color w:val="333333"/>
          <w:sz w:val="20"/>
          <w:szCs w:val="20"/>
        </w:rPr>
        <w:t xml:space="preserve"> RoPE is used; we answer </w:t>
      </w:r>
      <w:r>
        <w:rPr>
          <w:rFonts w:ascii="Arial" w:cs="Arial" w:eastAsia="Arial" w:hAnsi="Arial"/>
          <w:i/>
          <w:iCs/>
          <w:color w:val="333333"/>
          <w:sz w:val="20"/>
          <w:szCs w:val="20"/>
        </w:rPr>
        <w:t xml:space="preserve">how it should be configured</w:t>
      </w:r>
      <w:r>
        <w:rPr>
          <w:rFonts w:ascii="Arial" w:cs="Arial" w:eastAsia="Arial" w:hAnsi="Arial"/>
          <w:color w:val="333333"/>
          <w:sz w:val="20"/>
          <w:szCs w:val="20"/>
        </w:rPr>
        <w:t xml:space="preserve">. Interestingly, their finding—low-freq channels carry semantics, high-freq carry position—is exactly </w:t>
      </w:r>
      <w:r>
        <w:rPr>
          <w:rFonts w:ascii="Arial" w:cs="Arial" w:eastAsia="Arial" w:hAnsi="Arial"/>
          <w:b/>
          <w:bCs/>
          <w:color w:val="333333"/>
          <w:sz w:val="20"/>
          <w:szCs w:val="20"/>
        </w:rPr>
        <w:t xml:space="preserve">why EVQ works</w:t>
      </w:r>
      <w:r>
        <w:rPr>
          <w:rFonts w:ascii="Arial" w:cs="Arial" w:eastAsia="Arial" w:hAnsi="Arial"/>
          <w:color w:val="333333"/>
          <w:sz w:val="20"/>
          <w:szCs w:val="20"/>
        </w:rPr>
        <w:t xml:space="preserve">: EVQ expands low-freq spacing (reducing collision in the semantic-critical band) while compressing high-freq spacing (acceptable due to redundancy).</w:t>
      </w:r>
    </w:p>
    <w:p>
      <w:pPr>
        <w:pStyle w:val="Heading3"/>
        <w:spacing w:before="200" w:after="120"/>
      </w:pPr>
      <w:r>
        <w:rPr>
          <w:rFonts w:ascii="Arial" w:cs="Arial" w:eastAsia="Arial" w:hAnsi="Arial"/>
          <w:b/>
          <w:bCs/>
          <w:color w:val="3A6EA5"/>
          <w:sz w:val="22"/>
          <w:szCs w:val="22"/>
        </w:rPr>
        <w:t xml:space="preserve">Cross-Modal Generalization (Video Temporal)</w:t>
      </w:r>
    </w:p>
    <w:p>
      <w:pPr>
        <w:spacing w:after="160" w:before="0" w:line="276"/>
      </w:pPr>
      <w:r>
        <w:rPr>
          <w:rFonts w:ascii="Arial" w:cs="Arial" w:eastAsia="Arial" w:hAnsi="Arial"/>
          <w:color w:val="333333"/>
          <w:sz w:val="20"/>
          <w:szCs w:val="20"/>
        </w:rPr>
        <w:t xml:space="preserve">A preliminary but important differentiator: EVQ’s frequency optimization applies to </w:t>
      </w:r>
      <w:r>
        <w:rPr>
          <w:rFonts w:ascii="Arial" w:cs="Arial" w:eastAsia="Arial" w:hAnsi="Arial"/>
          <w:b/>
          <w:bCs/>
          <w:color w:val="333333"/>
          <w:sz w:val="20"/>
          <w:szCs w:val="20"/>
        </w:rPr>
        <w:t xml:space="preserve">any domain using RoPE</w:t>
      </w:r>
      <w:r>
        <w:rPr>
          <w:rFonts w:ascii="Arial" w:cs="Arial" w:eastAsia="Arial" w:hAnsi="Arial"/>
          <w:color w:val="333333"/>
          <w:sz w:val="20"/>
          <w:szCs w:val="20"/>
        </w:rPr>
        <w:t xml:space="preserve">, not just text. Our 2-seed video temporal experiment shows the same EVQ+YaRN synergy pattern (−47% improvement), confirming that the variational solution is </w:t>
      </w:r>
      <w:r>
        <w:rPr>
          <w:rFonts w:ascii="Arial" w:cs="Arial" w:eastAsia="Arial" w:hAnsi="Arial"/>
          <w:b/>
          <w:bCs/>
          <w:color w:val="333333"/>
          <w:sz w:val="20"/>
          <w:szCs w:val="20"/>
        </w:rPr>
        <w:t xml:space="preserve">modality-agnostic</w:t>
      </w:r>
      <w:r>
        <w:rPr>
          <w:rFonts w:ascii="Arial" w:cs="Arial" w:eastAsia="Arial" w:hAnsi="Arial"/>
          <w:color w:val="333333"/>
          <w:sz w:val="20"/>
          <w:szCs w:val="20"/>
        </w:rPr>
        <w:t xml:space="preserve">. Since 3D RoPE is now standard in video generation (CogVideoX, Wan2.1) and vision transformers, this opens a second application axis that no other from-scratch PE method has demonstrated.</w:t>
      </w:r>
    </w:p>
    <w:p>
      <w:pPr>
        <w:spacing w:after="120"/>
      </w:pPr>
    </w:p>
    <w:p>
      <w:pPr>
        <w:pStyle w:val="Heading2"/>
        <w:spacing w:before="280" w:after="160"/>
      </w:pPr>
      <w:r>
        <w:rPr>
          <w:rFonts w:ascii="Arial" w:cs="Arial" w:eastAsia="Arial" w:hAnsi="Arial"/>
          <w:b/>
          <w:bCs/>
          <w:color w:val="2E5A88"/>
          <w:sz w:val="26"/>
          <w:szCs w:val="26"/>
        </w:rPr>
        <w:t xml:space="preserve">3.2  Multi-Dimensional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EVQ vs Same Track</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EVQ vs Full Field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Theory Depth</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Far ahead</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Top 2 (with Round&amp;Round)</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Exp. Scale</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Leading (750M, 5 scales vs 350M)</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Mid-range (vs LongRoPE/STRING 70B)</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Practicality</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Strongest (0-param, 1-line swap)</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Top 3 (YaRN/LongRoPE more deployed)</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Novelty</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Very high (Geo = degenerate point)</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1A7A1A"/>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Stat. Rigor</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Far ahead (99-run, 6-seed)</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Field strongest</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Cross-Modal</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Unique (video temporal)</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Only from-scratch PE with multimodal evidence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Downstream</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CC6600"/>
                <w:sz w:val="18"/>
                <w:szCs w:val="18"/>
              </w:rPr>
              <w:t xml:space="preserve">On par (PPL + passkey)</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CC6600"/>
                <w:sz w:val="18"/>
                <w:szCs w:val="18"/>
              </w:rPr>
              <w:t xml:space="preserve">Weaker than FIRE (SCROLLS)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Model Scale</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Leading in track</w:t>
            </w:r>
          </w:p>
        </w:tc>
        <w:tc>
          <w:tcPr>
            <w:tcW w:type="dxa" w:w="35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CC6600"/>
                <w:sz w:val="18"/>
                <w:szCs w:val="18"/>
              </w:rPr>
              <w:t xml:space="preserve">No 7B+ validation</w:t>
            </w:r>
          </w:p>
        </w:tc>
      </w:tr>
    </w:tbl>
    <w:p>
      <w:r>
        <w:br w:type="page"/>
      </w:r>
    </w:p>
    <w:p>
      <w:pPr>
        <w:pStyle w:val="Heading1"/>
        <w:spacing w:before="360" w:after="200"/>
      </w:pPr>
      <w:r>
        <w:rPr>
          <w:rFonts w:ascii="Arial" w:cs="Arial" w:eastAsia="Arial" w:hAnsi="Arial"/>
          <w:b/>
          <w:bCs/>
          <w:color w:val="1F4E79"/>
          <w:sz w:val="32"/>
          <w:szCs w:val="32"/>
        </w:rPr>
        <w:t xml:space="preserve">4  Key Evidence Summary</w:t>
      </w:r>
    </w:p>
    <w:p>
      <w:pPr>
        <w:pStyle w:val="Heading2"/>
        <w:spacing w:before="280" w:after="160"/>
      </w:pPr>
      <w:r>
        <w:rPr>
          <w:rFonts w:ascii="Arial" w:cs="Arial" w:eastAsia="Arial" w:hAnsi="Arial"/>
          <w:b/>
          <w:bCs/>
          <w:color w:val="2E5A88"/>
          <w:sz w:val="26"/>
          <w:szCs w:val="26"/>
        </w:rPr>
        <w:t xml:space="preserve">4.1  Phase 17c Headline Result (454M, 512→1024→2048)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8K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16K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24K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32K</w:t>
            </w:r>
          </w:p>
        </w:tc>
        <w:tc>
          <w:tcPr>
            <w:tcW w:type="dxa" w:w="1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48K</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Geo raw</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2.31</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1.87</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3.94</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13.17</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27.98</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56.27</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57.94</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Geo+YaRN</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2.31</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1.78</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2.15</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3.84</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6.93</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15.12</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14.22</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EVQ raw</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2.33</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1.78</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1.91</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2.48</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5.22</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13.45</w:t>
            </w:r>
          </w:p>
        </w:tc>
        <w:tc>
          <w:tcPr>
            <w:tcW w:type="dxa" w:w="10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17.27</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EVQ+YaRN</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2.33</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1.79</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1.91</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2.19</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2.50</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3.29</w:t>
            </w:r>
          </w:p>
        </w:tc>
        <w:tc>
          <w:tcPr>
            <w:tcW w:type="dxa" w:w="1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2.63</w:t>
            </w:r>
          </w:p>
        </w:tc>
      </w:tr>
    </w:tbl>
    <w:p>
      <w:pPr>
        <w:spacing w:after="160" w:before="0" w:line="276"/>
      </w:pPr>
      <w:r>
        <w:rPr>
          <w:rFonts w:ascii="Arial" w:cs="Arial" w:eastAsia="Arial" w:hAnsi="Arial"/>
          <w:b/>
          <w:bCs/>
          <w:color w:val="333333"/>
          <w:sz w:val="20"/>
          <w:szCs w:val="20"/>
        </w:rPr>
        <w:t xml:space="preserve">EVQ+YaRN at 48K tokens (24× training length): PPL = 2.63. </w:t>
      </w:r>
      <w:r>
        <w:rPr>
          <w:rFonts w:ascii="Arial" w:cs="Arial" w:eastAsia="Arial" w:hAnsi="Arial"/>
          <w:color w:val="333333"/>
          <w:sz w:val="20"/>
          <w:szCs w:val="20"/>
        </w:rPr>
        <w:t xml:space="preserve">Geo+YaRN at the same length: 14.22. EVQ advantage: </w:t>
      </w:r>
      <w:r>
        <w:rPr>
          <w:rFonts w:ascii="Arial" w:cs="Arial" w:eastAsia="Arial" w:hAnsi="Arial"/>
          <w:b/>
          <w:bCs/>
          <w:color w:val="1A7A1A"/>
          <w:sz w:val="20"/>
          <w:szCs w:val="20"/>
        </w:rPr>
        <w:t xml:space="preserve">82%</w:t>
      </w:r>
      <w:r>
        <w:rPr>
          <w:rFonts w:ascii="Arial" w:cs="Arial" w:eastAsia="Arial" w:hAnsi="Arial"/>
          <w:color w:val="333333"/>
          <w:sz w:val="20"/>
          <w:szCs w:val="20"/>
        </w:rPr>
        <w:t xml:space="preserve">. Passkey retrieval: EVQ+YaRN 100% at all lengths (40/40 trials), the only method to achieve this.</w:t>
      </w:r>
    </w:p>
    <w:p>
      <w:pPr>
        <w:pStyle w:val="Heading2"/>
        <w:spacing w:before="280" w:after="160"/>
      </w:pPr>
      <w:r>
        <w:rPr>
          <w:rFonts w:ascii="Arial" w:cs="Arial" w:eastAsia="Arial" w:hAnsi="Arial"/>
          <w:b/>
          <w:bCs/>
          <w:color w:val="2E5A88"/>
          <w:sz w:val="26"/>
          <w:szCs w:val="26"/>
        </w:rPr>
        <w:t xml:space="preserve">4.2  Three-Stage Superlinear Amplification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Stage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Training</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EVQ vs Geo @16K</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Trend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Stage 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L=512 from scratch</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−34.6%</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Baseline advantage</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Stage 2</w:t>
            </w:r>
          </w:p>
        </w:tc>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512→1024 continue</w:t>
            </w:r>
          </w:p>
        </w:tc>
        <w:tc>
          <w:tcPr>
            <w:tcW w:type="dxa" w:w="2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−52.0%</w:t>
            </w:r>
          </w:p>
        </w:tc>
        <w:tc>
          <w:tcPr>
            <w:tcW w:type="dxa" w:w="2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Amplifying</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Stage 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512→1024→2048 continue</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−81.2%</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Superlinear acceleration</w:t>
            </w:r>
          </w:p>
        </w:tc>
      </w:tr>
    </w:tbl>
    <w:p>
      <w:pPr>
        <w:spacing w:after="160" w:before="0" w:line="276"/>
      </w:pPr>
      <w:r>
        <w:rPr>
          <w:rFonts w:ascii="Arial" w:cs="Arial" w:eastAsia="Arial" w:hAnsi="Arial"/>
          <w:color w:val="333333"/>
          <w:sz w:val="20"/>
          <w:szCs w:val="20"/>
        </w:rPr>
        <w:t xml:space="preserve">EVQ advantage monotonically increases and accelerates through progressive training. This directly refutes the concern that longer training would wash out EVQ gains.</w:t>
      </w:r>
    </w:p>
    <w:p>
      <w:pPr>
        <w:pStyle w:val="Heading2"/>
        <w:spacing w:before="280" w:after="160"/>
      </w:pPr>
      <w:r>
        <w:rPr>
          <w:rFonts w:ascii="Arial" w:cs="Arial" w:eastAsia="Arial" w:hAnsi="Arial"/>
          <w:b/>
          <w:bCs/>
          <w:color w:val="2E5A88"/>
          <w:sz w:val="26"/>
          <w:szCs w:val="26"/>
        </w:rPr>
        <w:t xml:space="preserve">4.3  Phase 18: Base Generalization (New)</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200"/>
        <w:gridCol w:w="1200"/>
        <w:gridCol w:w="1200"/>
        <w:gridCol w:w="1200"/>
        <w:gridCol w:w="1060"/>
      </w:tblGrid>
      <w:t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Base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PPL@512</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PPL@1K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PPL@2K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PPL@4K</w:t>
            </w:r>
          </w:p>
        </w:tc>
        <w:tc>
          <w:tcPr>
            <w:tcW w:type="dxa" w:w="1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Δ@4K</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10K</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Geo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74.86</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100.81</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168.68</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246.12</w:t>
            </w:r>
          </w:p>
        </w:tc>
        <w:tc>
          <w:tcPr>
            <w:tcW w:type="dxa" w:w="10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w:t>
            </w:r>
          </w:p>
        </w:tc>
      </w:tr>
      <w:tr>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10K</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EVQ</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77.57</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88.36</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126.67</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192.39</w:t>
            </w:r>
          </w:p>
        </w:tc>
        <w:tc>
          <w:tcPr>
            <w:tcW w:type="dxa" w:w="10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−21.8%</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500K</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Geo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73.74</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105.55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185.22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284.87</w:t>
            </w:r>
          </w:p>
        </w:tc>
        <w:tc>
          <w:tcPr>
            <w:tcW w:type="dxa" w:w="10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w:t>
            </w:r>
          </w:p>
        </w:tc>
      </w:tr>
      <w:tr>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500K</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EVQ</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74.32</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90.36</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132.12</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191.90</w:t>
            </w:r>
          </w:p>
        </w:tc>
        <w:tc>
          <w:tcPr>
            <w:tcW w:type="dxa" w:w="10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−32.6%</w:t>
            </w:r>
          </w:p>
        </w:tc>
      </w:tr>
    </w:tbl>
    <w:p>
      <w:pPr>
        <w:spacing w:after="160" w:before="0" w:line="276"/>
      </w:pPr>
      <w:r>
        <w:rPr>
          <w:rFonts w:ascii="Arial" w:cs="Arial" w:eastAsia="Arial" w:hAnsi="Arial"/>
          <w:b/>
          <w:bCs/>
          <w:color w:val="333333"/>
          <w:sz w:val="20"/>
          <w:szCs w:val="20"/>
        </w:rPr>
        <w:t xml:space="preserve">Critical finding: </w:t>
      </w:r>
      <w:r>
        <w:rPr>
          <w:rFonts w:ascii="Arial" w:cs="Arial" w:eastAsia="Arial" w:hAnsi="Arial"/>
          <w:color w:val="333333"/>
          <w:sz w:val="20"/>
          <w:szCs w:val="20"/>
        </w:rPr>
        <w:t xml:space="preserve">EVQ@base=10K and EVQ@base=500K achieve nearly identical PPL@4K (192.39 vs 191.90), while Geometric differs by 38 points. EVQ’s frequency optimization </w:t>
      </w:r>
      <w:r>
        <w:rPr>
          <w:rFonts w:ascii="Arial" w:cs="Arial" w:eastAsia="Arial" w:hAnsi="Arial"/>
          <w:b/>
          <w:bCs/>
          <w:color w:val="333333"/>
          <w:sz w:val="20"/>
          <w:szCs w:val="20"/>
        </w:rPr>
        <w:t xml:space="preserve">partially substitutes for base tuning</w:t>
      </w:r>
      <w:r>
        <w:rPr>
          <w:rFonts w:ascii="Arial" w:cs="Arial" w:eastAsia="Arial" w:hAnsi="Arial"/>
          <w:color w:val="333333"/>
          <w:sz w:val="20"/>
          <w:szCs w:val="20"/>
        </w:rPr>
        <w:t xml:space="preserve">. Sub-cycle channel reduction: ~50% at both bases, matching our closed-form Proposition prediction to ±1 bin.</w:t>
      </w:r>
    </w:p>
    <w:p>
      <w:pPr>
        <w:pStyle w:val="Heading2"/>
        <w:spacing w:before="280" w:after="160"/>
      </w:pPr>
      <w:r>
        <w:rPr>
          <w:rFonts w:ascii="Arial" w:cs="Arial" w:eastAsia="Arial" w:hAnsi="Arial"/>
          <w:b/>
          <w:bCs/>
          <w:color w:val="2E5A88"/>
          <w:sz w:val="26"/>
          <w:szCs w:val="26"/>
        </w:rPr>
        <w:t xml:space="preserve">4.4  Sub-Cycle Proposition (Theory, GPT-4o Audited)</w:t>
      </w:r>
    </w:p>
    <w:p>
      <w:pPr>
        <w:spacing w:after="160" w:before="0" w:line="276"/>
      </w:pPr>
      <w:r>
        <w:rPr>
          <w:rFonts w:ascii="Arial" w:cs="Arial" w:eastAsia="Arial" w:hAnsi="Arial"/>
          <w:color w:val="333333"/>
          <w:sz w:val="20"/>
          <w:szCs w:val="20"/>
        </w:rPr>
        <w:t xml:space="preserve">We derive a closed-form expression for EVQ’s sub-cycle (collision) channel reduction directly from the variational solution:</w:t>
      </w:r>
    </w:p>
    <w:p>
      <w:pPr>
        <w:spacing w:after="160" w:before="0" w:line="276"/>
        <w:jc w:val="center"/>
      </w:pPr>
      <w:r>
        <w:rPr>
          <w:rFonts w:ascii="Arial" w:cs="Arial" w:eastAsia="Arial" w:hAnsi="Arial"/>
          <w:i/>
          <w:iCs/>
          <w:color w:val="333333"/>
          <w:sz w:val="20"/>
          <w:szCs w:val="20"/>
        </w:rPr>
        <w:t xml:space="preserve">ρ</w:t>
      </w:r>
      <w:r>
        <w:rPr>
          <w:rFonts w:ascii="Arial" w:cs="Arial" w:eastAsia="Arial" w:hAnsi="Arial"/>
          <w:i/>
          <w:iCs/>
          <w:color w:val="333333"/>
          <w:sz w:val="16"/>
          <w:szCs w:val="16"/>
        </w:rPr>
        <w:t xml:space="preserve">_sub-cycle</w:t>
      </w:r>
      <w:r>
        <w:rPr>
          <w:rFonts w:ascii="Arial" w:cs="Arial" w:eastAsia="Arial" w:hAnsi="Arial"/>
          <w:i/>
          <w:iCs/>
          <w:color w:val="333333"/>
          <w:sz w:val="20"/>
          <w:szCs w:val="20"/>
        </w:rPr>
        <w:t xml:space="preserve">(EVQ) = sinh(τx) / sinh(τ)</w:t>
      </w:r>
      <w:r>
        <w:rPr>
          <w:rFonts w:ascii="Arial" w:cs="Arial" w:eastAsia="Arial" w:hAnsi="Arial"/>
          <w:color w:val="333333"/>
          <w:sz w:val="20"/>
          <w:szCs w:val="20"/>
        </w:rPr>
        <w:t xml:space="preserve">,  where x = 1 − φ_c (Geometric sub-cycle fraction)</w:t>
      </w:r>
    </w:p>
    <w:p>
      <w:pPr>
        <w:spacing w:after="160" w:before="0" w:line="276"/>
      </w:pPr>
      <w:r>
        <w:rPr>
          <w:rFonts w:ascii="Arial" w:cs="Arial" w:eastAsia="Arial" w:hAnsi="Arial"/>
          <w:color w:val="333333"/>
          <w:sz w:val="20"/>
          <w:szCs w:val="20"/>
        </w:rPr>
        <w:t xml:space="preserve">Three proven corollaries: (1) EVQ always reduces sub-cycle channels (Δρ &gt; 0, sinh convexity); (2) sub-cycle fraction strictly decreases with τ (z·coth(z) monotonicity); (3) exponential tail decay for large τ. The continuum formula matches Phase 18 discrete counts within ±1 bin at both base values.</w:t>
      </w:r>
    </w:p>
    <w:p>
      <w:pPr>
        <w:pStyle w:val="Heading2"/>
        <w:spacing w:before="280" w:after="160"/>
      </w:pPr>
      <w:r>
        <w:rPr>
          <w:rFonts w:ascii="Arial" w:cs="Arial" w:eastAsia="Arial" w:hAnsi="Arial"/>
          <w:b/>
          <w:bCs/>
          <w:color w:val="2E5A88"/>
          <w:sz w:val="26"/>
          <w:szCs w:val="26"/>
        </w:rPr>
        <w:t xml:space="preserve">4.5  Cross-Modal Evidence (Video Temporal)</w:t>
      </w:r>
    </w:p>
    <w:p>
      <w:pPr>
        <w:spacing w:after="160" w:before="0" w:line="276"/>
      </w:pPr>
      <w:r>
        <w:rPr>
          <w:rFonts w:ascii="Arial" w:cs="Arial" w:eastAsia="Arial" w:hAnsi="Arial"/>
          <w:color w:val="333333"/>
          <w:sz w:val="20"/>
          <w:szCs w:val="20"/>
        </w:rPr>
        <w:t xml:space="preserve">2-seed video temporal experiment confirms EVQ+YaRN synergy in 3D RoPE: </w:t>
      </w:r>
      <w:r>
        <w:rPr>
          <w:rFonts w:ascii="Arial" w:cs="Arial" w:eastAsia="Arial" w:hAnsi="Arial"/>
          <w:b/>
          <w:bCs/>
          <w:color w:val="333333"/>
          <w:sz w:val="20"/>
          <w:szCs w:val="20"/>
        </w:rPr>
        <w:t xml:space="preserve">−47% improvement</w:t>
      </w:r>
      <w:r>
        <w:rPr>
          <w:rFonts w:ascii="Arial" w:cs="Arial" w:eastAsia="Arial" w:hAnsi="Arial"/>
          <w:color w:val="333333"/>
          <w:sz w:val="20"/>
          <w:szCs w:val="20"/>
        </w:rPr>
        <w:t xml:space="preserve"> over Geo+YaRN. While preliminary, this is the </w:t>
      </w:r>
      <w:r>
        <w:rPr>
          <w:rFonts w:ascii="Arial" w:cs="Arial" w:eastAsia="Arial" w:hAnsi="Arial"/>
          <w:b/>
          <w:bCs/>
          <w:color w:val="333333"/>
          <w:sz w:val="20"/>
          <w:szCs w:val="20"/>
        </w:rPr>
        <w:t xml:space="preserve">only from-scratch PE method with any multimodal evidence</w:t>
      </w:r>
      <w:r>
        <w:rPr>
          <w:rFonts w:ascii="Arial" w:cs="Arial" w:eastAsia="Arial" w:hAnsi="Arial"/>
          <w:color w:val="333333"/>
          <w:sz w:val="20"/>
          <w:szCs w:val="20"/>
        </w:rPr>
        <w:t xml:space="preserve">. Since CogVideoX, Wan2.1, and modern ViTs all use RoPE, EVQ’s variational solution applies directly to spatial and temporal frequency allocation with zero modification.</w:t>
      </w:r>
    </w:p>
    <w:p>
      <w:r>
        <w:br w:type="page"/>
      </w:r>
    </w:p>
    <w:p>
      <w:pPr>
        <w:pStyle w:val="Heading1"/>
        <w:spacing w:before="360" w:after="200"/>
      </w:pPr>
      <w:r>
        <w:rPr>
          <w:rFonts w:ascii="Arial" w:cs="Arial" w:eastAsia="Arial" w:hAnsi="Arial"/>
          <w:b/>
          <w:bCs/>
          <w:color w:val="1F4E79"/>
          <w:sz w:val="32"/>
          <w:szCs w:val="32"/>
        </w:rPr>
        <w:t xml:space="preserve">5  Honest Assessment</w:t>
      </w:r>
    </w:p>
    <w:p>
      <w:pPr>
        <w:pStyle w:val="Heading2"/>
        <w:spacing w:before="280" w:after="160"/>
      </w:pPr>
      <w:r>
        <w:rPr>
          <w:rFonts w:ascii="Arial" w:cs="Arial" w:eastAsia="Arial" w:hAnsi="Arial"/>
          <w:b/>
          <w:bCs/>
          <w:color w:val="2E5A88"/>
          <w:sz w:val="26"/>
          <w:szCs w:val="26"/>
        </w:rPr>
        <w:t xml:space="preserve">5.1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Strength</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Unique theoretical framework</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Only closed-form variational solution; Geometric = τ=0 degenerate point; sub-cycle Proposition with formal proofs</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Statistical rigor</w:t>
            </w:r>
          </w:p>
        </w:tc>
        <w:tc>
          <w:tcPr>
            <w:tcW w:type="dxa" w:w="6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99-run τ sweep (8/9 top-3), 6-seed zero-variance passkey, three-stage progressive, 5 model scales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Practical simplicity</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0 extra parameters, 1-line code replacement, τ*=d/√L parameter-free default</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Systematic evidence</w:t>
            </w:r>
          </w:p>
        </w:tc>
        <w:tc>
          <w:tcPr>
            <w:tcW w:type="dxa" w:w="6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Phase 17 series (progressive amplification), Phase 18 (base generalization), Phase 11 (PE-dominant), Phase 16 (τ sweep)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Cross-modal potential</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Video temporal transfer with same synergy pattern; modality-agnostic variational solution</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Industrial alignment</w:t>
            </w:r>
          </w:p>
        </w:tc>
        <w:tc>
          <w:tcPr>
            <w:tcW w:type="dxa" w:w="6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d_head=64 matches 2026 MLA flagships (DeepSeek V3, GLM-5, Kimi K2.5)</w:t>
            </w:r>
          </w:p>
        </w:tc>
      </w:tr>
    </w:tbl>
    <w:p>
      <w:pPr>
        <w:spacing w:after="120"/>
      </w:pPr>
    </w:p>
    <w:p>
      <w:pPr>
        <w:pStyle w:val="Heading2"/>
        <w:spacing w:before="280" w:after="160"/>
      </w:pPr>
      <w:r>
        <w:rPr>
          <w:rFonts w:ascii="Arial" w:cs="Arial" w:eastAsia="Arial" w:hAnsi="Arial"/>
          <w:b/>
          <w:bCs/>
          <w:color w:val="2E5A88"/>
          <w:sz w:val="26"/>
          <w:szCs w:val="26"/>
        </w:rPr>
        <w:t xml:space="preserve">5.2  Weaknesses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Weakness</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CC6600"/>
                <w:sz w:val="18"/>
                <w:szCs w:val="18"/>
              </w:rPr>
              <w:t xml:space="preserve">No 7B+ validation</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Track norm is 125M–350M (DAPE/FIRE); our 750M already exceeds this. Advisor may help with 1.5B+</w:t>
            </w:r>
          </w:p>
        </w:tc>
      </w:tr>
      <w:tr>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CC6600"/>
                <w:sz w:val="18"/>
                <w:szCs w:val="18"/>
              </w:rPr>
              <w:t xml:space="preserve">Limited NLP downstream</w:t>
            </w:r>
          </w:p>
        </w:tc>
        <w:tc>
          <w:tcPr>
            <w:tcW w:type="dxa" w:w="61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DAPE (poster) also has no standard NLP downstream; FIRE has SCROLLS. Adding SCROLLS would strengthen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CC6600"/>
                <w:sz w:val="18"/>
                <w:szCs w:val="18"/>
              </w:rPr>
              <w:t xml:space="preserve">Some single-seed results</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Main claims use 3-seed/6-seed; Phase 18/17c/15 are single-seed supporting evidence</w:t>
            </w:r>
          </w:p>
        </w:tc>
      </w:tr>
      <w:tr>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996600"/>
                <w:sz w:val="18"/>
                <w:szCs w:val="18"/>
              </w:rPr>
              <w:t xml:space="preserve">Video evidence preliminary</w:t>
            </w:r>
          </w:p>
        </w:tc>
        <w:tc>
          <w:tcPr>
            <w:tcW w:type="dxa" w:w="61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2-seed only; but no competitor has any cross-modal evidence at all</w:t>
            </w:r>
          </w:p>
        </w:tc>
      </w:tr>
    </w:tbl>
    <w:p>
      <w:r>
        <w:br w:type="page"/>
      </w:r>
    </w:p>
    <w:p>
      <w:pPr>
        <w:pStyle w:val="Heading1"/>
        <w:spacing w:before="360" w:after="200"/>
      </w:pPr>
      <w:r>
        <w:rPr>
          <w:rFonts w:ascii="Arial" w:cs="Arial" w:eastAsia="Arial" w:hAnsi="Arial"/>
          <w:b/>
          <w:bCs/>
          <w:color w:val="1F4E79"/>
          <w:sz w:val="32"/>
          <w:szCs w:val="32"/>
        </w:rPr>
        <w:t xml:space="preserve">6  Acceptance Probability Estimate</w:t>
      </w:r>
    </w:p>
    <w:p>
      <w:pPr>
        <w:spacing w:after="160" w:before="0" w:line="276"/>
      </w:pPr>
      <w:r>
        <w:rPr>
          <w:rFonts w:ascii="Arial" w:cs="Arial" w:eastAsia="Arial" w:hAnsi="Arial"/>
          <w:color w:val="333333"/>
          <w:sz w:val="20"/>
          <w:szCs w:val="20"/>
        </w:rPr>
        <w:t xml:space="preserve">Based on comparison with accepted PE papers at ICLR 2024, NeurIPS 2024, ICML 2024, and ICLR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960"/>
        <w:gridCol w:w="180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Poster</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Spotlight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Oral</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8"/>
                <w:szCs w:val="18"/>
              </w:rPr>
              <w:t xml:space="preserve">Current experiments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70–80%</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20–30%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3–5%</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 Multi-seed Phase 18/19</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75–85%</w:t>
            </w:r>
          </w:p>
        </w:tc>
        <w:tc>
          <w:tcPr>
            <w:tcW w:type="dxa" w:w="19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25–35%</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5–8%</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+ 1.5B + simple downstream</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82–90%</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1A7A1A"/>
                <w:sz w:val="18"/>
                <w:szCs w:val="18"/>
              </w:rPr>
              <w:t xml:space="preserve">30–40%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6–10%</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+ 7B LoRA + LongBench</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88–95%</w:t>
            </w:r>
          </w:p>
        </w:tc>
        <w:tc>
          <w:tcPr>
            <w:tcW w:type="dxa" w:w="19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38–48%</w:t>
            </w:r>
          </w:p>
        </w:tc>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8–12%</w:t>
            </w:r>
          </w:p>
        </w:tc>
      </w:tr>
    </w:tbl>
    <w:p>
      <w:pPr>
        <w:spacing w:after="160" w:before="0" w:line="276"/>
      </w:pPr>
      <w:r>
        <w:rPr>
          <w:rFonts w:ascii="Arial" w:cs="Arial" w:eastAsia="Arial" w:hAnsi="Arial"/>
          <w:b/>
          <w:bCs/>
          <w:color w:val="333333"/>
          <w:sz w:val="20"/>
          <w:szCs w:val="20"/>
        </w:rPr>
        <w:t xml:space="preserve">Reference points: </w:t>
      </w:r>
      <w:r>
        <w:rPr>
          <w:rFonts w:ascii="Arial" w:cs="Arial" w:eastAsia="Arial" w:hAnsi="Arial"/>
          <w:color w:val="333333"/>
          <w:sz w:val="20"/>
          <w:szCs w:val="20"/>
        </w:rPr>
        <w:t xml:space="preserve">DAPE (NeurIPS 2024 poster) had 125M–350M scale, no standard NLP downstream, and moderate theory. FIRE (ICLR 2024 poster) had 350M and SCROLLS+GLUE. Our theory depth, statistical rigor, cross-modal evidence, and three-stage progressive results substantially exceed both.</w:t>
      </w:r>
    </w:p>
    <w:p>
      <w:r>
        <w:br w:type="page"/>
      </w:r>
    </w:p>
    <w:p>
      <w:pPr>
        <w:pStyle w:val="Heading1"/>
        <w:spacing w:before="360" w:after="200"/>
      </w:pPr>
      <w:r>
        <w:rPr>
          <w:rFonts w:ascii="Arial" w:cs="Arial" w:eastAsia="Arial" w:hAnsi="Arial"/>
          <w:b/>
          <w:bCs/>
          <w:color w:val="1F4E79"/>
          <w:sz w:val="32"/>
          <w:szCs w:val="32"/>
        </w:rPr>
        <w:t xml:space="preserve">7  Recommended Next Steps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400"/>
        <w:gridCol w:w="32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Time</w:t>
            </w:r>
          </w:p>
        </w:tc>
        <w:tc>
          <w:tcPr>
            <w:tcW w:type="dxa" w:w="3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CC0000"/>
                <w:sz w:val="18"/>
                <w:szCs w:val="18"/>
              </w:rPr>
              <w:t xml:space="preserve">P0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Phase 18 multi-seed (base=10K+500K, seeds 137,256)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~2h M4 Max</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Upgrade Phase 18 from B+ to A−</w:t>
            </w:r>
          </w:p>
        </w:tc>
      </w:tr>
      <w:tr>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CC0000"/>
                <w:sz w:val="18"/>
                <w:szCs w:val="18"/>
              </w:rPr>
              <w:t xml:space="preserve">P0</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Sub-cycle Proposition formal write-up (with advisor)</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~2h theory</w:t>
            </w:r>
          </w:p>
        </w:tc>
        <w:tc>
          <w:tcPr>
            <w:tcW w:type="dxa" w:w="32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New theorem for paper §5</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CC6600"/>
                <w:sz w:val="18"/>
                <w:szCs w:val="18"/>
              </w:rPr>
              <w:t xml:space="preserve">P1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Phase 19 completion (125M 3-seed progressive)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Running on server</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Cross-scale validation + error bars</w:t>
            </w:r>
          </w:p>
        </w:tc>
      </w:tr>
      <w:tr>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CC6600"/>
                <w:sz w:val="18"/>
                <w:szCs w:val="18"/>
              </w:rPr>
              <w:t xml:space="preserve">P1</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Equivalent-base analysis (fine-grained Geo sweep)</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~3h M4 Max</w:t>
            </w:r>
          </w:p>
        </w:tc>
        <w:tc>
          <w:tcPr>
            <w:tcW w:type="dxa" w:w="32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Quantify EVQ’s base compensation effect</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6699"/>
                <w:sz w:val="18"/>
                <w:szCs w:val="18"/>
              </w:rPr>
              <w:t xml:space="preserve">P2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1.5B model (with advisor)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~days on cluster</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Scale validation; poster → spotlight upgrade</w:t>
            </w:r>
          </w:p>
        </w:tc>
      </w:tr>
      <w:tr>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bCs/>
                <w:color w:val="336699"/>
                <w:sz w:val="18"/>
                <w:szCs w:val="18"/>
              </w:rPr>
              <w:t xml:space="preserve">P2</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Simple downstream (SCROLLS subset)</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~1 day</w:t>
            </w:r>
          </w:p>
        </w:tc>
        <w:tc>
          <w:tcPr>
            <w:tcW w:type="dxa" w:w="32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vAlign w:val="center"/>
          </w:tcPr>
          <w:p>
            <w:pPr>
              <w:jc w:val="left"/>
            </w:pPr>
            <w:r>
              <w:rPr>
                <w:rFonts w:ascii="Arial" w:cs="Arial" w:eastAsia="Arial" w:hAnsi="Arial"/>
                <w:b w:val="false"/>
                <w:bCs w:val="false"/>
                <w:color w:val="333333"/>
                <w:sz w:val="18"/>
                <w:szCs w:val="18"/>
              </w:rPr>
              <w:t xml:space="preserve">Close gap with FIRE</w:t>
            </w:r>
          </w:p>
        </w:tc>
      </w:tr>
    </w:tbl>
    <w:p>
      <w:pPr>
        <w:spacing w:after="200"/>
      </w:pPr>
    </w:p>
    <w:p>
      <w:pPr>
        <w:pBdr>
          <w:top w:val="single" w:color="1F4E79" w:sz="6" w:space="8"/>
        </w:pBdr>
        <w:spacing w:before="400"/>
      </w:pPr>
    </w:p>
    <w:p>
      <w:pPr>
        <w:spacing w:after="160" w:before="0" w:line="276"/>
      </w:pPr>
      <w:r>
        <w:rPr>
          <w:rFonts w:ascii="Arial" w:cs="Arial" w:eastAsia="Arial" w:hAnsi="Arial"/>
          <w:b/>
          <w:bCs/>
          <w:color w:val="1F4E79"/>
          <w:sz w:val="24"/>
          <w:szCs w:val="24"/>
        </w:rPr>
        <w:t xml:space="preserve">Bottom Line: </w:t>
      </w:r>
      <w:r>
        <w:rPr>
          <w:rFonts w:ascii="Arial" w:cs="Arial" w:eastAsia="Arial" w:hAnsi="Arial"/>
          <w:color w:val="333333"/>
          <w:sz w:val="22"/>
          <w:szCs w:val="22"/>
        </w:rPr>
        <w:t xml:space="preserve">EVQ-Cosh is a significant theoretical and empirical contribution to the PE field. In the from-scratch PE track, it represents the strongest entry since ALiBi (ICLR 2022). Its unique combination of variational theory, practical simplicity (0 parameters), superlinear progressive amplification, cross-modal generalizability, and systematic experimental validation positions it well for NeurIPS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EVQ-Cosh — PE Landscape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A8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2026-03-11T03:29:46.665Z</dcterms:created>
  <dcterms:modified xsi:type="dcterms:W3CDTF">2026-03-11T03:29:46.665Z</dcterms:modified>
</cp:coreProperties>
</file>

<file path=docProps/custom.xml><?xml version="1.0" encoding="utf-8"?>
<Properties xmlns="http://schemas.openxmlformats.org/officeDocument/2006/custom-properties" xmlns:vt="http://schemas.openxmlformats.org/officeDocument/2006/docPropsVTypes"/>
</file>