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3D3124" w14:textId="77777777" w:rsidR="001C55F5" w:rsidRDefault="001C55F5" w:rsidP="001C55F5">
      <w:pPr>
        <w:jc w:val="center"/>
        <w:rPr>
          <w:rFonts w:cstheme="minorHAnsi"/>
          <w:b/>
          <w:bCs/>
          <w:color w:val="1F4E79" w:themeColor="accent5" w:themeShade="80"/>
          <w:kern w:val="0"/>
          <w:sz w:val="36"/>
          <w:szCs w:val="36"/>
        </w:rPr>
      </w:pPr>
      <w:r w:rsidRPr="00AD5569">
        <w:rPr>
          <w:rFonts w:cstheme="minorHAnsi"/>
          <w:b/>
          <w:bCs/>
          <w:color w:val="1F4E79" w:themeColor="accent5" w:themeShade="80"/>
          <w:kern w:val="0"/>
          <w:sz w:val="36"/>
          <w:szCs w:val="36"/>
        </w:rPr>
        <w:t>BANK LOAN REPORT</w:t>
      </w:r>
    </w:p>
    <w:p w14:paraId="4A591310" w14:textId="393E0769" w:rsidR="001C55F5" w:rsidRPr="001C55F5" w:rsidRDefault="001C55F5" w:rsidP="001C55F5">
      <w:pPr>
        <w:jc w:val="center"/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TERMINOLOGIES USED IN DATA</w:t>
      </w:r>
    </w:p>
    <w:p w14:paraId="464FC32E" w14:textId="0B3D5100" w:rsidR="001C55F5" w:rsidRPr="00CB6627" w:rsidRDefault="001C55F5" w:rsidP="001C55F5">
      <w:pPr>
        <w:jc w:val="both"/>
        <w:rPr>
          <w:b/>
          <w:bCs/>
          <w:color w:val="4472C4" w:themeColor="accent1"/>
          <w:sz w:val="28"/>
          <w:szCs w:val="28"/>
        </w:rPr>
      </w:pPr>
      <w:r w:rsidRPr="00CB6627">
        <w:rPr>
          <w:b/>
          <w:bCs/>
          <w:color w:val="4472C4" w:themeColor="accent1"/>
          <w:sz w:val="28"/>
          <w:szCs w:val="28"/>
        </w:rPr>
        <w:t>Fields Used in Data</w:t>
      </w:r>
    </w:p>
    <w:p w14:paraId="7CFF8C2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Loan ID:</w:t>
      </w:r>
    </w:p>
    <w:p w14:paraId="72B1C40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ID is a unique identifier assigned to each loan application or loan account. It serves as a primary key for tracking and managing individual loans.</w:t>
      </w:r>
    </w:p>
    <w:p w14:paraId="28BB5D53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IDs to efficiently manage and track loans throughout their lifecycle. It aids in organizing loan records, monitoring repayments, and addressing customer inquiries.</w:t>
      </w:r>
    </w:p>
    <w:p w14:paraId="36F805F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409427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Address State:</w:t>
      </w:r>
    </w:p>
    <w:p w14:paraId="5247035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Address State indicates the borrower's location. It helps in assessing regional risk factors, compliance with state regulations, and estimating default probabilities.</w:t>
      </w:r>
    </w:p>
    <w:p w14:paraId="09578749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information to identify regional trends in loan demand, adjust marketing strategies, and manage risk portfolios based on geographic regions.</w:t>
      </w:r>
    </w:p>
    <w:p w14:paraId="7DED9FD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01A986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Employee Length:</w:t>
      </w:r>
    </w:p>
    <w:p w14:paraId="3756A82D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Employee Length provides insights into the borrower's employment stability. Longer employment durations may indicate greater job security.</w:t>
      </w:r>
    </w:p>
    <w:p w14:paraId="127E95A0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consider employment length when assessing a borrower's ability to repay. Stable employment often translates to a lower default risk.</w:t>
      </w:r>
    </w:p>
    <w:p w14:paraId="1D3ED559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E8B6FF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Employee Title:</w:t>
      </w:r>
    </w:p>
    <w:p w14:paraId="1653AFF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Employee Title specifies the borrower's occupation or job title. It helps lenders understand the source of the borrower's income.</w:t>
      </w:r>
    </w:p>
    <w:p w14:paraId="2391C6DC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verify income sources, assess the borrower's financial capacity, and tailor loan offers to different professions.</w:t>
      </w:r>
    </w:p>
    <w:p w14:paraId="2A86A7A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AD9D72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Grade:</w:t>
      </w:r>
    </w:p>
    <w:p w14:paraId="621FE32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Grade represents a risk classification assigned to the loan based on creditworthiness. Higher grades signify lower risk.</w:t>
      </w:r>
    </w:p>
    <w:p w14:paraId="7C5B711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lastRenderedPageBreak/>
        <w:t>Use for Banks: Banks use the grade to price loans and manage risk. Higher-grade loans typically receive lower interest rates and are more attractive to investors.</w:t>
      </w:r>
    </w:p>
    <w:p w14:paraId="5B0F6D1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9D888B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Sub Grade:</w:t>
      </w:r>
    </w:p>
    <w:p w14:paraId="0302606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Sub Grade refines the risk assessment within a grade, providing additional risk differentiation.</w:t>
      </w:r>
    </w:p>
    <w:p w14:paraId="0D39FE0F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Sub Grades offer a finer level of risk assessment, helping banks tailor interest rates and lending terms to match borrower risk profiles.</w:t>
      </w:r>
    </w:p>
    <w:p w14:paraId="04D42B5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A907C2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Home Ownership:</w:t>
      </w:r>
    </w:p>
    <w:p w14:paraId="73F8760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Home Ownership indicates the borrower's housing status. It offers insights into financial stability.</w:t>
      </w:r>
    </w:p>
    <w:p w14:paraId="1DD5FAB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assess collateral availability and borrower stability. Homeowners may have lower default rates.</w:t>
      </w:r>
    </w:p>
    <w:p w14:paraId="3500DDA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D453ED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Issue Date:</w:t>
      </w:r>
    </w:p>
    <w:p w14:paraId="6487B34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Issue Date marks the loan's origination date. It's crucial for loan tracking and maturity calculations.</w:t>
      </w:r>
    </w:p>
    <w:p w14:paraId="44F4FB5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Issue Dates to track loan aging, calculate interest accruals, and manage loan portfolios.</w:t>
      </w:r>
    </w:p>
    <w:p w14:paraId="055BF97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347D826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Last Credit Pull Date:</w:t>
      </w:r>
    </w:p>
    <w:p w14:paraId="4DFF6F4C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Last Credit Pull Date records when the borrower's credit report was last accessed. It helps monitor creditworthiness.</w:t>
      </w:r>
    </w:p>
    <w:p w14:paraId="5B5D88F4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date to track credit history updates, assess credit risk, and make informed lending decisions.</w:t>
      </w:r>
    </w:p>
    <w:p w14:paraId="2E5BEA6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73B811A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Last Payment Date:</w:t>
      </w:r>
    </w:p>
    <w:p w14:paraId="60D49191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Last Payment Date marks the most recent loan payment received. It tracks the borrower's payment history.</w:t>
      </w:r>
    </w:p>
    <w:p w14:paraId="55E160A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 xml:space="preserve">Use for Banks: Banks use this date to assess payment </w:t>
      </w:r>
      <w:proofErr w:type="spellStart"/>
      <w:r w:rsidRPr="00034003">
        <w:rPr>
          <w:rFonts w:cstheme="minorHAnsi"/>
          <w:sz w:val="24"/>
          <w:szCs w:val="24"/>
        </w:rPr>
        <w:t>behavior</w:t>
      </w:r>
      <w:proofErr w:type="spellEnd"/>
      <w:r w:rsidRPr="00034003">
        <w:rPr>
          <w:rFonts w:cstheme="minorHAnsi"/>
          <w:sz w:val="24"/>
          <w:szCs w:val="24"/>
        </w:rPr>
        <w:t>, calculate delinquency, and project future payments.</w:t>
      </w:r>
    </w:p>
    <w:p w14:paraId="424700D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lastRenderedPageBreak/>
        <w:t>Loan Status:</w:t>
      </w:r>
    </w:p>
    <w:p w14:paraId="38F7840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Status indicates the current state of the loan (e.g., fully paid, current, default). It tracks loan performance.</w:t>
      </w:r>
    </w:p>
    <w:p w14:paraId="0A90F788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Status to monitor loan health, categorize loans for risk analysis, and determine provisioning requirements.</w:t>
      </w:r>
    </w:p>
    <w:p w14:paraId="7674E0F6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CE74549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Next Payment Date:</w:t>
      </w:r>
    </w:p>
    <w:p w14:paraId="4F59EE8A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Next Payment Date estimates the date of the next loan payment. It assists in cash flow forecasting.</w:t>
      </w:r>
    </w:p>
    <w:p w14:paraId="48210910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date for liquidity planning and to project revenue from loan portfolios.</w:t>
      </w:r>
    </w:p>
    <w:p w14:paraId="366577FD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DB9023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Purpose:</w:t>
      </w:r>
    </w:p>
    <w:p w14:paraId="6D96177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Purpose specifies the reason for the loan (e.g., debt consolidation, education). It helps understand borrower intentions.</w:t>
      </w:r>
    </w:p>
    <w:p w14:paraId="320F5898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segment and customize loan offerings, aligning loan terms with borrower needs.</w:t>
      </w:r>
    </w:p>
    <w:p w14:paraId="11C69EC1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BC51C4C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Term:</w:t>
      </w:r>
    </w:p>
    <w:p w14:paraId="23DB3C5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Term defines the duration of the loan in months. It sets the repayment period.</w:t>
      </w:r>
    </w:p>
    <w:p w14:paraId="2CA6C04E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the term to structure loan agreements, calculate interest payments, and manage loan maturities.</w:t>
      </w:r>
    </w:p>
    <w:p w14:paraId="142C3CF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02C88C9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Verification Status:</w:t>
      </w:r>
    </w:p>
    <w:p w14:paraId="4788367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Verification Status indicates whether the borrower's financial information has been verified. It assesses data accuracy.</w:t>
      </w:r>
    </w:p>
    <w:p w14:paraId="4F9DB2CB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gauge data reliability, verify income, and evaluate loan application credibility.</w:t>
      </w:r>
    </w:p>
    <w:p w14:paraId="6FE0F5E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</w:p>
    <w:p w14:paraId="2445944D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Annual Income:</w:t>
      </w:r>
    </w:p>
    <w:p w14:paraId="1C57269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Annual Income reflects the borrower's total yearly earnings. It assesses repayment capacity.</w:t>
      </w:r>
    </w:p>
    <w:p w14:paraId="56712A4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lastRenderedPageBreak/>
        <w:t>Use for Banks: Banks use this income figure to determine loan eligibility, calculate debt-to-income ratios, and evaluate creditworthiness.</w:t>
      </w:r>
    </w:p>
    <w:p w14:paraId="4E70C0E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6A67F6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DTI (Debt-to-Income Ratio):</w:t>
      </w:r>
    </w:p>
    <w:p w14:paraId="4C73099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DTI measures the borrower's debt burden relative to income. It gauges the borrower's capacity to take on additional debt.</w:t>
      </w:r>
    </w:p>
    <w:p w14:paraId="74446210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DTI to assess a borrower's ability to handle loan payments and make responsible lending decisions.</w:t>
      </w:r>
    </w:p>
    <w:p w14:paraId="7E72E915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964D2C7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Instalment:</w:t>
      </w:r>
    </w:p>
    <w:p w14:paraId="4BF6D16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Instalment is the fixed monthly payment amount for loan repayment, including principal and interest.</w:t>
      </w:r>
    </w:p>
    <w:p w14:paraId="56CCC764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structure loan terms, calculate amortization schedules, and assess payment affordability.</w:t>
      </w:r>
    </w:p>
    <w:p w14:paraId="090A3926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83F16E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Interest Rate:</w:t>
      </w:r>
    </w:p>
    <w:p w14:paraId="575EB3A6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Interest Rate represents the annual cost of borrowing expressed as a percentage. It determines the loan's cost.</w:t>
      </w:r>
    </w:p>
    <w:p w14:paraId="671EBA53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interest rates to price loans, manage profit margins, and attract investors.</w:t>
      </w:r>
    </w:p>
    <w:p w14:paraId="20DEE5E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225DFE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Loan Amount:</w:t>
      </w:r>
    </w:p>
    <w:p w14:paraId="220A66E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Amount is the total borrowed sum. It defines the principal amount.</w:t>
      </w:r>
    </w:p>
    <w:p w14:paraId="04195255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Amount to determine loan size</w:t>
      </w:r>
    </w:p>
    <w:p w14:paraId="5A7827C5" w14:textId="77777777" w:rsidR="001C55F5" w:rsidRDefault="001C55F5" w:rsidP="001C55F5">
      <w:pPr>
        <w:jc w:val="both"/>
      </w:pPr>
    </w:p>
    <w:p w14:paraId="4E9AA6CD" w14:textId="77777777" w:rsidR="001C55F5" w:rsidRPr="00034003" w:rsidRDefault="001C55F5" w:rsidP="001C55F5">
      <w:pPr>
        <w:jc w:val="both"/>
      </w:pPr>
    </w:p>
    <w:p w14:paraId="1DFDF871" w14:textId="77777777" w:rsidR="001C55F5" w:rsidRPr="00034003" w:rsidRDefault="001C55F5" w:rsidP="001C55F5">
      <w:pPr>
        <w:jc w:val="both"/>
      </w:pPr>
    </w:p>
    <w:p w14:paraId="6201097E" w14:textId="77777777" w:rsidR="00B90E3A" w:rsidRDefault="00B90E3A"/>
    <w:sectPr w:rsidR="00B90E3A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BFFE0A" w14:textId="77777777" w:rsidR="00661483" w:rsidRDefault="00661483" w:rsidP="00A83F2B">
      <w:pPr>
        <w:spacing w:after="0" w:line="240" w:lineRule="auto"/>
      </w:pPr>
      <w:r>
        <w:separator/>
      </w:r>
    </w:p>
  </w:endnote>
  <w:endnote w:type="continuationSeparator" w:id="0">
    <w:p w14:paraId="5EC54A92" w14:textId="77777777" w:rsidR="00661483" w:rsidRDefault="00661483" w:rsidP="00A83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5A6AAD" w14:textId="41E342A0" w:rsidR="00A83F2B" w:rsidRPr="00A83F2B" w:rsidRDefault="00A83F2B">
    <w:pPr>
      <w:pStyle w:val="Footer"/>
      <w:rPr>
        <w:i/>
        <w:i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223241" w14:textId="77777777" w:rsidR="00661483" w:rsidRDefault="00661483" w:rsidP="00A83F2B">
      <w:pPr>
        <w:spacing w:after="0" w:line="240" w:lineRule="auto"/>
      </w:pPr>
      <w:r>
        <w:separator/>
      </w:r>
    </w:p>
  </w:footnote>
  <w:footnote w:type="continuationSeparator" w:id="0">
    <w:p w14:paraId="69EE90F5" w14:textId="77777777" w:rsidR="00661483" w:rsidRDefault="00661483" w:rsidP="00A83F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4DFE75" w14:textId="77777777" w:rsidR="00B87534" w:rsidRDefault="00B8753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5F5"/>
    <w:rsid w:val="001C55F5"/>
    <w:rsid w:val="00661483"/>
    <w:rsid w:val="009401C4"/>
    <w:rsid w:val="00A61538"/>
    <w:rsid w:val="00A83F2B"/>
    <w:rsid w:val="00B87534"/>
    <w:rsid w:val="00B90E3A"/>
    <w:rsid w:val="00CD3295"/>
    <w:rsid w:val="00FC0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B8B9A0F"/>
  <w15:chartTrackingRefBased/>
  <w15:docId w15:val="{BD6B06C2-043D-47C8-9A1B-45A9C333E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5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5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5F5"/>
  </w:style>
  <w:style w:type="character" w:styleId="Hyperlink">
    <w:name w:val="Hyperlink"/>
    <w:basedOn w:val="DefaultParagraphFont"/>
    <w:uiPriority w:val="99"/>
    <w:unhideWhenUsed/>
    <w:rsid w:val="001C55F5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A83F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3F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9B0BF0-9983-435D-AD2A-2B9D84B29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800</Words>
  <Characters>4648</Characters>
  <Application>Microsoft Office Word</Application>
  <DocSecurity>0</DocSecurity>
  <Lines>122</Lines>
  <Paragraphs>63</Paragraphs>
  <ScaleCrop>false</ScaleCrop>
  <Company/>
  <LinksUpToDate>false</LinksUpToDate>
  <CharactersWithSpaces>5385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Lenovo</cp:lastModifiedBy>
  <cp:revision>4</cp:revision>
  <dcterms:created xsi:type="dcterms:W3CDTF">2023-10-06T12:00:00Z</dcterms:created>
  <dcterms:modified xsi:type="dcterms:W3CDTF">2024-07-16T17:36:00Z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a2229ba5b623973d510551831052645ea98c9c06614d69b86312bf87cbbbb5e4</vt:lpwstr>
  </property>
</Properties>
</file>