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0"/>
          <w:szCs w:val="40"/>
        </w:rPr>
        <w:t xml:space="preserve">UK House Price Index — Data Preprocessing Report</w:t>
      </w:r>
    </w:p>
    <w:p>
      <w:pPr>
        <w:spacing w:after="60"/>
      </w:pPr>
      <w:r>
        <w:rPr>
          <w:i/>
          <w:iCs/>
          <w:color w:val="555555"/>
          <w:sz w:val="24"/>
          <w:szCs w:val="24"/>
        </w:rPr>
        <w:t xml:space="preserve">Week 1: Data Cleaning, Missing-Value Analysis &amp; Feature Preparation</w:t>
      </w:r>
    </w:p>
    <w:p>
      <w:pPr>
        <w:spacing w:after="40"/>
      </w:pPr>
      <w:r>
        <w:rPr>
          <w:color w:val="777777"/>
          <w:sz w:val="20"/>
          <w:szCs w:val="20"/>
        </w:rPr>
        <w:t xml:space="preserve">Prepared by Misbha  |  COMSATS University Islamabad</w:t>
      </w:r>
    </w:p>
    <w:p>
      <w:pPr>
        <w:pBdr>
          <w:bottom w:val="single" w:color="1F3864" w:sz="6"/>
        </w:pBdr>
        <w:spacing w:after="320"/>
      </w:pPr>
      <w:r>
        <w:rPr>
          <w:color w:val="777777"/>
          <w:sz w:val="20"/>
          <w:szCs w:val="20"/>
        </w:rPr>
        <w:t xml:space="preserve">Time invested: 2–3 days</w:t>
      </w:r>
    </w:p>
    <w:p>
      <w:pPr>
        <w:pStyle w:val="Heading1"/>
        <w:spacing w:after="160" w:before="320"/>
      </w:pPr>
      <w:r>
        <w:t xml:space="preserve">1. Project Overview</w:t>
      </w:r>
    </w:p>
    <w:p>
      <w:pPr>
        <w:spacing w:after="160"/>
      </w:pPr>
      <w:r>
        <w:t xml:space="preserve">This report documents the data cleaning and preprocessing stage of a personal data science portfolio project built on the HM Land Registry UK House Price Index (UK HPI) — the official government dataset tracking residential property prices across the United Kingdom from 1968 to the present.</w:t>
      </w:r>
    </w:p>
    <w:p>
      <w:pPr>
        <w:spacing w:after="160"/>
      </w:pPr>
      <w:r>
        <w:t xml:space="preserve">The objective of this stage was not simply to remove missing values, but to understand why each gap exists and to encode that understanding into the dataset itself, so that later analysis (feature engineering, modelling, and dashboarding) can rely on the data being both accurate and honestly labelled.</w:t>
      </w:r>
    </w:p>
    <w:p>
      <w:pPr>
        <w:pStyle w:val="Heading1"/>
        <w:spacing w:after="160" w:before="320"/>
      </w:pPr>
      <w:r>
        <w:t xml:space="preserve">2. Dataset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tcPr>
          <w:p>
            <w:r>
              <w:rPr>
                <w:b/>
                <w:bCs/>
                <w:color w:val="FFFFFF"/>
                <w:sz w:val="20"/>
                <w:szCs w:val="20"/>
              </w:rPr>
              <w:t xml:space="preserve">Property</w:t>
            </w:r>
          </w:p>
        </w:tc>
        <w:tc>
          <w:tcPr>
            <w:tcW w:type="dxa" w:w="6350"/>
            <w:shd w:fill="1F3864" w:val="clear"/>
            <w:tcMar>
              <w:top w:type="dxa" w:w="80"/>
              <w:left w:type="dxa" w:w="100"/>
              <w:bottom w:type="dxa" w:w="80"/>
              <w:right w:type="dxa" w:w="100"/>
            </w:tcMar>
          </w:tcPr>
          <w:p>
            <w:r>
              <w:rPr>
                <w:b/>
                <w:bCs/>
                <w:color w:val="FFFFFF"/>
                <w:sz w:val="20"/>
                <w:szCs w:val="20"/>
              </w:rPr>
              <w:t xml:space="preserve">Detail</w:t>
            </w:r>
          </w:p>
        </w:tc>
      </w:tr>
      <w:tr>
        <w:tc>
          <w:tcPr>
            <w:tcW w:type="dxa" w:w="3000"/>
            <w:tcMar>
              <w:top w:type="dxa" w:w="70"/>
              <w:left w:type="dxa" w:w="100"/>
              <w:bottom w:type="dxa" w:w="70"/>
              <w:right w:type="dxa" w:w="100"/>
            </w:tcMar>
          </w:tcPr>
          <w:p>
            <w:r>
              <w:rPr>
                <w:sz w:val="20"/>
                <w:szCs w:val="20"/>
              </w:rPr>
              <w:t xml:space="preserve">Source</w:t>
            </w:r>
          </w:p>
        </w:tc>
        <w:tc>
          <w:tcPr>
            <w:tcW w:type="dxa" w:w="6350"/>
            <w:tcMar>
              <w:top w:type="dxa" w:w="70"/>
              <w:left w:type="dxa" w:w="100"/>
              <w:bottom w:type="dxa" w:w="70"/>
              <w:right w:type="dxa" w:w="100"/>
            </w:tcMar>
          </w:tcPr>
          <w:p>
            <w:r>
              <w:rPr>
                <w:sz w:val="20"/>
                <w:szCs w:val="20"/>
              </w:rPr>
              <w:t xml:space="preserve">HM Land Registry UK House Price Index, gov.uk</w:t>
            </w:r>
          </w:p>
        </w:tc>
      </w:tr>
      <w:tr>
        <w:tc>
          <w:tcPr>
            <w:tcW w:type="dxa" w:w="3000"/>
            <w:tcMar>
              <w:top w:type="dxa" w:w="70"/>
              <w:left w:type="dxa" w:w="100"/>
              <w:bottom w:type="dxa" w:w="70"/>
              <w:right w:type="dxa" w:w="100"/>
            </w:tcMar>
          </w:tcPr>
          <w:p>
            <w:r>
              <w:rPr>
                <w:sz w:val="20"/>
                <w:szCs w:val="20"/>
              </w:rPr>
              <w:t xml:space="preserve">Raw file</w:t>
            </w:r>
          </w:p>
        </w:tc>
        <w:tc>
          <w:tcPr>
            <w:tcW w:type="dxa" w:w="6350"/>
            <w:tcMar>
              <w:top w:type="dxa" w:w="70"/>
              <w:left w:type="dxa" w:w="100"/>
              <w:bottom w:type="dxa" w:w="70"/>
              <w:right w:type="dxa" w:w="100"/>
            </w:tcMar>
          </w:tcPr>
          <w:p>
            <w:r>
              <w:rPr>
                <w:sz w:val="20"/>
                <w:szCs w:val="20"/>
              </w:rPr>
              <w:t xml:space="preserve">UK-HPI-full-file-2025-09.csv</w:t>
            </w:r>
          </w:p>
        </w:tc>
      </w:tr>
      <w:tr>
        <w:tc>
          <w:tcPr>
            <w:tcW w:type="dxa" w:w="3000"/>
            <w:tcMar>
              <w:top w:type="dxa" w:w="70"/>
              <w:left w:type="dxa" w:w="100"/>
              <w:bottom w:type="dxa" w:w="70"/>
              <w:right w:type="dxa" w:w="100"/>
            </w:tcMar>
          </w:tcPr>
          <w:p>
            <w:r>
              <w:rPr>
                <w:sz w:val="20"/>
                <w:szCs w:val="20"/>
              </w:rPr>
              <w:t xml:space="preserve">Rows</w:t>
            </w:r>
          </w:p>
        </w:tc>
        <w:tc>
          <w:tcPr>
            <w:tcW w:type="dxa" w:w="6350"/>
            <w:tcMar>
              <w:top w:type="dxa" w:w="70"/>
              <w:left w:type="dxa" w:w="100"/>
              <w:bottom w:type="dxa" w:w="70"/>
              <w:right w:type="dxa" w:w="100"/>
            </w:tcMar>
          </w:tcPr>
          <w:p>
            <w:r>
              <w:rPr>
                <w:sz w:val="20"/>
                <w:szCs w:val="20"/>
              </w:rPr>
              <w:t xml:space="preserve">150,705</w:t>
            </w:r>
          </w:p>
        </w:tc>
      </w:tr>
      <w:tr>
        <w:tc>
          <w:tcPr>
            <w:tcW w:type="dxa" w:w="3000"/>
            <w:tcMar>
              <w:top w:type="dxa" w:w="70"/>
              <w:left w:type="dxa" w:w="100"/>
              <w:bottom w:type="dxa" w:w="70"/>
              <w:right w:type="dxa" w:w="100"/>
            </w:tcMar>
          </w:tcPr>
          <w:p>
            <w:r>
              <w:rPr>
                <w:sz w:val="20"/>
                <w:szCs w:val="20"/>
              </w:rPr>
              <w:t xml:space="preserve">Columns</w:t>
            </w:r>
          </w:p>
        </w:tc>
        <w:tc>
          <w:tcPr>
            <w:tcW w:type="dxa" w:w="6350"/>
            <w:tcMar>
              <w:top w:type="dxa" w:w="70"/>
              <w:left w:type="dxa" w:w="100"/>
              <w:bottom w:type="dxa" w:w="70"/>
              <w:right w:type="dxa" w:w="100"/>
            </w:tcMar>
          </w:tcPr>
          <w:p>
            <w:r>
              <w:rPr>
                <w:sz w:val="20"/>
                <w:szCs w:val="20"/>
              </w:rPr>
              <w:t xml:space="preserve">54 (before feature engineering)</w:t>
            </w:r>
          </w:p>
        </w:tc>
      </w:tr>
      <w:tr>
        <w:tc>
          <w:tcPr>
            <w:tcW w:type="dxa" w:w="3000"/>
            <w:tcMar>
              <w:top w:type="dxa" w:w="70"/>
              <w:left w:type="dxa" w:w="100"/>
              <w:bottom w:type="dxa" w:w="70"/>
              <w:right w:type="dxa" w:w="100"/>
            </w:tcMar>
          </w:tcPr>
          <w:p>
            <w:r>
              <w:rPr>
                <w:sz w:val="20"/>
                <w:szCs w:val="20"/>
              </w:rPr>
              <w:t xml:space="preserve">Regions covered</w:t>
            </w:r>
          </w:p>
        </w:tc>
        <w:tc>
          <w:tcPr>
            <w:tcW w:type="dxa" w:w="6350"/>
            <w:tcMar>
              <w:top w:type="dxa" w:w="70"/>
              <w:left w:type="dxa" w:w="100"/>
              <w:bottom w:type="dxa" w:w="70"/>
              <w:right w:type="dxa" w:w="100"/>
            </w:tcMar>
          </w:tcPr>
          <w:p>
            <w:r>
              <w:rPr>
                <w:sz w:val="20"/>
                <w:szCs w:val="20"/>
              </w:rPr>
              <w:t xml:space="preserve">405 (nations, English regions, local authorities, NI districts)</w:t>
            </w:r>
          </w:p>
        </w:tc>
      </w:tr>
      <w:tr>
        <w:tc>
          <w:tcPr>
            <w:tcW w:type="dxa" w:w="3000"/>
            <w:tcMar>
              <w:top w:type="dxa" w:w="70"/>
              <w:left w:type="dxa" w:w="100"/>
              <w:bottom w:type="dxa" w:w="70"/>
              <w:right w:type="dxa" w:w="100"/>
            </w:tcMar>
          </w:tcPr>
          <w:p>
            <w:r>
              <w:rPr>
                <w:sz w:val="20"/>
                <w:szCs w:val="20"/>
              </w:rPr>
              <w:t xml:space="preserve">Date range</w:t>
            </w:r>
          </w:p>
        </w:tc>
        <w:tc>
          <w:tcPr>
            <w:tcW w:type="dxa" w:w="6350"/>
            <w:tcMar>
              <w:top w:type="dxa" w:w="70"/>
              <w:left w:type="dxa" w:w="100"/>
              <w:bottom w:type="dxa" w:w="70"/>
              <w:right w:type="dxa" w:w="100"/>
            </w:tcMar>
          </w:tcPr>
          <w:p>
            <w:r>
              <w:rPr>
                <w:sz w:val="20"/>
                <w:szCs w:val="20"/>
              </w:rPr>
              <w:t xml:space="preserve">January 1968 – January 2026</w:t>
            </w:r>
          </w:p>
        </w:tc>
      </w:tr>
      <w:tr>
        <w:tc>
          <w:tcPr>
            <w:tcW w:type="dxa" w:w="3000"/>
            <w:tcMar>
              <w:top w:type="dxa" w:w="70"/>
              <w:left w:type="dxa" w:w="100"/>
              <w:bottom w:type="dxa" w:w="70"/>
              <w:right w:type="dxa" w:w="100"/>
            </w:tcMar>
          </w:tcPr>
          <w:p>
            <w:r>
              <w:rPr>
                <w:sz w:val="20"/>
                <w:szCs w:val="20"/>
              </w:rPr>
              <w:t xml:space="preserve">Granularity</w:t>
            </w:r>
          </w:p>
        </w:tc>
        <w:tc>
          <w:tcPr>
            <w:tcW w:type="dxa" w:w="6350"/>
            <w:tcMar>
              <w:top w:type="dxa" w:w="70"/>
              <w:left w:type="dxa" w:w="100"/>
              <w:bottom w:type="dxa" w:w="70"/>
              <w:right w:type="dxa" w:w="100"/>
            </w:tcMar>
          </w:tcPr>
          <w:p>
            <w:r>
              <w:rPr>
                <w:sz w:val="20"/>
                <w:szCs w:val="20"/>
              </w:rPr>
              <w:t xml:space="preserve">Monthly, per region</w:t>
            </w:r>
          </w:p>
        </w:tc>
      </w:tr>
    </w:tbl>
    <w:p>
      <w:pPr>
        <w:spacing w:after="160"/>
      </w:pPr>
      <w:r>
        <w:t xml:space="preserve"/>
      </w:r>
    </w:p>
    <w:p>
      <w:pPr>
        <w:pStyle w:val="Heading1"/>
        <w:spacing w:after="160" w:before="320"/>
      </w:pPr>
      <w:r>
        <w:t xml:space="preserve">3. Methodology</w:t>
      </w:r>
    </w:p>
    <w:p>
      <w:pPr>
        <w:spacing w:after="160"/>
      </w:pPr>
      <w:r>
        <w:t xml:space="preserve">Every column with missing data was treated as a hypothesis to test, not a problem to blanket-fix. For each pattern of missingness, the same four-step process was applied:</w:t>
      </w:r>
    </w:p>
    <w:p>
      <w:pPr>
        <w:pStyle w:val="ListParagraph"/>
        <w:numPr>
          <w:ilvl w:val="0"/>
          <w:numId w:val="2"/>
        </w:numPr>
        <w:spacing w:after="80"/>
      </w:pPr>
      <w:r>
        <w:t xml:space="preserve">Quantify: measure the % missing per column.</w:t>
      </w:r>
    </w:p>
    <w:p>
      <w:pPr>
        <w:pStyle w:val="ListParagraph"/>
        <w:numPr>
          <w:ilvl w:val="0"/>
          <w:numId w:val="2"/>
        </w:numPr>
        <w:spacing w:after="80"/>
      </w:pPr>
      <w:r>
        <w:t xml:space="preserve">Hypothesize: propose a plausible mechanism (e.g. “this column may only be published for certain regions”).</w:t>
      </w:r>
    </w:p>
    <w:p>
      <w:pPr>
        <w:pStyle w:val="ListParagraph"/>
        <w:numPr>
          <w:ilvl w:val="0"/>
          <w:numId w:val="2"/>
        </w:numPr>
        <w:spacing w:after="80"/>
      </w:pPr>
      <w:r>
        <w:t xml:space="preserve">Test: group the data by the suspected driver (region, year, or both) and check where coverage actually changes.</w:t>
      </w:r>
    </w:p>
    <w:p>
      <w:pPr>
        <w:pStyle w:val="ListParagraph"/>
        <w:numPr>
          <w:ilvl w:val="0"/>
          <w:numId w:val="2"/>
        </w:numPr>
        <w:spacing w:after="80"/>
      </w:pPr>
      <w:r>
        <w:t xml:space="preserve">Encode: once the true mechanism was confirmed, create an explicit boolean flag column recording it, rather than deleting or imputing values.</w:t>
      </w:r>
    </w:p>
    <w:p>
      <w:pPr>
        <w:spacing w:after="160"/>
      </w:pPr>
      <w:r>
        <w:t xml:space="preserve">This mattered because several early hypotheses turned out to be incomplete or wrong once tested against the real data — documented below as issues, not hidden.</w:t>
      </w:r>
    </w:p>
    <w:p>
      <w:pPr>
        <w:pStyle w:val="Heading1"/>
        <w:spacing w:after="160" w:before="320"/>
      </w:pPr>
      <w:r>
        <w:t xml:space="preserve">4. Data Type &amp; Integrity Fixes</w:t>
      </w:r>
    </w:p>
    <w:p>
      <w:pPr>
        <w:pStyle w:val="Heading2"/>
        <w:spacing w:after="120" w:before="240"/>
      </w:pPr>
      <w:r>
        <w:t xml:space="preserve">4.1 Date parsing bug (critical)</w:t>
      </w:r>
    </w:p>
    <w:p>
      <w:pPr>
        <w:spacing w:after="160"/>
      </w:pPr>
      <w:r>
        <w:t xml:space="preserve">The raw Date column is formatted DD/MM/YYYY (UK convention). pandas' pd.to_datetime() defaults to MM/DD/YYYY (US convention) when no format is specified, which silently misread months as days for every row.</w:t>
      </w:r>
    </w:p>
    <w:p>
      <w:pPr>
        <w:pBdr>
          <w:top w:val="single" w:color="CCCCCC" w:sz="2"/>
          <w:bottom w:val="single" w:color="CCCCCC" w:sz="2"/>
          <w:left w:val="single" w:color="CCCCCC" w:sz="2"/>
          <w:right w:val="single" w:color="CCCCCC" w:sz="2"/>
        </w:pBdr>
        <w:shd w:fill="F2F2F2" w:val="clear"/>
        <w:spacing w:after="160" w:before="40"/>
      </w:pPr>
      <w:r>
        <w:rPr>
          <w:rFonts w:ascii="Consolas" w:cs="Consolas" w:eastAsia="Consolas" w:hAnsi="Consolas"/>
          <w:color w:val="1F3864"/>
          <w:sz w:val="19"/>
          <w:szCs w:val="19"/>
        </w:rPr>
        <w:t xml:space="preserve">df['Date'] = pd.to_datetime(df['Date'], dayfirst=True)</w:t>
      </w:r>
    </w:p>
    <w:p>
      <w:pPr>
        <w:spacing w:after="160"/>
      </w:pPr>
      <w:r>
        <w:t xml:space="preserve">This was caught by comparing converted dates against the raw CSV text before trusting the conversion — a general practice adopted for the rest of the project. Left uncorrected, every monthly aggregation, trend chart, and year-over-year comparison downstream would have been silently wrong.</w:t>
      </w:r>
    </w:p>
    <w:p>
      <w:pPr>
        <w:pStyle w:val="Heading2"/>
        <w:spacing w:after="120" w:before="240"/>
      </w:pPr>
      <w:r>
        <w:t xml:space="preserve">4.2 Categorical encoding</w:t>
      </w:r>
    </w:p>
    <w:p>
      <w:pPr>
        <w:spacing w:after="160"/>
      </w:pPr>
      <w:r>
        <w:t xml:space="preserve">RegionName and AreaCode were converted to the pandas category dtype to reduce memory usage and speed up groupby operations, since only 405 unique region values repeat across 150,705 rows.</w:t>
      </w:r>
    </w:p>
    <w:p>
      <w:pPr>
        <w:pBdr>
          <w:top w:val="single" w:color="CCCCCC" w:sz="2"/>
          <w:bottom w:val="single" w:color="CCCCCC" w:sz="2"/>
          <w:left w:val="single" w:color="CCCCCC" w:sz="2"/>
          <w:right w:val="single" w:color="CCCCCC" w:sz="2"/>
        </w:pBdr>
        <w:shd w:fill="F2F2F2" w:val="clear"/>
        <w:spacing w:after="160" w:before="40"/>
      </w:pPr>
      <w:r>
        <w:rPr>
          <w:rFonts w:ascii="Consolas" w:cs="Consolas" w:eastAsia="Consolas" w:hAnsi="Consolas"/>
          <w:color w:val="1F3864"/>
          <w:sz w:val="19"/>
          <w:szCs w:val="19"/>
        </w:rPr>
        <w:t xml:space="preserve">df['RegionName'] = df['RegionName'].astype('category')
df['AreaCode'] = df['AreaCode'].astype('category')</w:t>
      </w:r>
    </w:p>
    <w:p>
      <w:pPr>
        <w:spacing w:after="160"/>
      </w:pPr>
      <w:r>
        <w:t xml:space="preserve">Note: category columns retain all possible categories even after filtering a subset of the data, which caused misleading groupby output (all 405 regions reappearing with NaN) until observed=True was added to each groupby call on a filtered subset.</w:t>
      </w:r>
    </w:p>
    <w:p>
      <w:pPr>
        <w:pStyle w:val="Heading2"/>
        <w:spacing w:after="120" w:before="240"/>
      </w:pPr>
      <w:r>
        <w:t xml:space="preserve">4.3 Duplicate check</w:t>
      </w:r>
    </w:p>
    <w:p>
      <w:pPr>
        <w:spacing w:after="160"/>
      </w:pPr>
      <w:r>
        <w:t xml:space="preserve">Confirmed zero duplicate (Date, RegionName) combinations — one row per region per month, as expected.</w:t>
      </w:r>
    </w:p>
    <w:p>
      <w:pPr>
        <w:pStyle w:val="Heading1"/>
        <w:spacing w:after="160" w:before="320"/>
      </w:pPr>
      <w:r>
        <w:t xml:space="preserve">5. Missing-Value Analysis, Column by Column</w:t>
      </w:r>
    </w:p>
    <w:p>
      <w:pPr>
        <w:pStyle w:val="Heading2"/>
        <w:spacing w:after="120" w:before="240"/>
      </w:pPr>
      <w:r>
        <w:t xml:space="preserve">5.1 Seasonally adjusted figures (IndexSA, AveragePriceSA)</w:t>
      </w:r>
    </w:p>
    <w:p>
      <w:pPr>
        <w:spacing w:after="160"/>
      </w:pPr>
      <w:r>
        <w:t xml:space="preserve">96.5% missing overall. Testing coverage per region showed these figures are only published for a small set of broad geographies (nations and English regions) — never for individual local authorities, where transaction volumes are too low to reliably seasonally adjust. Coverage also depends on date, beginning in 2004 even for the regions that do report it.</w:t>
      </w:r>
    </w:p>
    <w:p>
      <w:pPr>
        <w:pBdr>
          <w:top w:val="single" w:color="CCCCCC" w:sz="2"/>
          <w:bottom w:val="single" w:color="CCCCCC" w:sz="2"/>
          <w:left w:val="single" w:color="CCCCCC" w:sz="2"/>
          <w:right w:val="single" w:color="CCCCCC" w:sz="2"/>
        </w:pBdr>
        <w:shd w:fill="F2F2F2" w:val="clear"/>
        <w:spacing w:after="160" w:before="40"/>
      </w:pPr>
      <w:r>
        <w:rPr>
          <w:rFonts w:ascii="Consolas" w:cs="Consolas" w:eastAsia="Consolas" w:hAnsi="Consolas"/>
          <w:color w:val="1F3864"/>
          <w:sz w:val="19"/>
          <w:szCs w:val="19"/>
        </w:rPr>
        <w:t xml:space="preserve">df['HasSeasonalAdjustment'] = df['RegionName'].isin(national_regional) &amp; (df['Date'].dt.year &gt;= 2004)</w:t>
      </w:r>
    </w:p>
    <w:p>
      <w:pPr>
        <w:spacing w:after="160"/>
      </w:pPr>
      <w:r>
        <w:t xml:space="preserve">Residual unexplained gap after applying this rule: 12 rows out of ~150,000 — accepted as a documented residual.</w:t>
      </w:r>
    </w:p>
    <w:p>
      <w:pPr>
        <w:pStyle w:val="Heading2"/>
        <w:spacing w:after="120" w:before="240"/>
      </w:pPr>
      <w:r>
        <w:t xml:space="preserve">5.2 Property type breakdown (Detached / Semi-Detached / Terraced / Flat, New / Old)</w:t>
      </w:r>
    </w:p>
    <w:p>
      <w:pPr>
        <w:spacing w:after="160"/>
      </w:pPr>
      <w:r>
        <w:t xml:space="preserve">Initial hypothesis — a single UK-wide start date of 1995 — left 3,540 unexplained gaps. Investigation revealed the true pattern required per-region exceptions: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4750"/>
      </w:tblGrid>
      <w:tr>
        <w:trPr>
          <w:tblHeader/>
        </w:trPr>
        <w:tc>
          <w:tcPr>
            <w:tcW w:type="dxa" w:w="4600"/>
            <w:shd w:fill="1F3864" w:val="clear"/>
            <w:tcMar>
              <w:top w:type="dxa" w:w="80"/>
              <w:left w:type="dxa" w:w="100"/>
              <w:bottom w:type="dxa" w:w="80"/>
              <w:right w:type="dxa" w:w="100"/>
            </w:tcMar>
          </w:tcPr>
          <w:p>
            <w:r>
              <w:rPr>
                <w:b/>
                <w:bCs/>
                <w:color w:val="FFFFFF"/>
                <w:sz w:val="20"/>
                <w:szCs w:val="20"/>
              </w:rPr>
              <w:t xml:space="preserve">Region group</w:t>
            </w:r>
          </w:p>
        </w:tc>
        <w:tc>
          <w:tcPr>
            <w:tcW w:type="dxa" w:w="4750"/>
            <w:shd w:fill="1F3864" w:val="clear"/>
            <w:tcMar>
              <w:top w:type="dxa" w:w="80"/>
              <w:left w:type="dxa" w:w="100"/>
              <w:bottom w:type="dxa" w:w="80"/>
              <w:right w:type="dxa" w:w="100"/>
            </w:tcMar>
          </w:tcPr>
          <w:p>
            <w:r>
              <w:rPr>
                <w:b/>
                <w:bCs/>
                <w:color w:val="FFFFFF"/>
                <w:sz w:val="20"/>
                <w:szCs w:val="20"/>
              </w:rPr>
              <w:t xml:space="preserve">Availability</w:t>
            </w:r>
          </w:p>
        </w:tc>
      </w:tr>
      <w:tr>
        <w:tc>
          <w:tcPr>
            <w:tcW w:type="dxa" w:w="4600"/>
            <w:tcMar>
              <w:top w:type="dxa" w:w="70"/>
              <w:left w:type="dxa" w:w="100"/>
              <w:bottom w:type="dxa" w:w="70"/>
              <w:right w:type="dxa" w:w="100"/>
            </w:tcMar>
          </w:tcPr>
          <w:p>
            <w:r>
              <w:rPr>
                <w:sz w:val="20"/>
                <w:szCs w:val="20"/>
              </w:rPr>
              <w:t xml:space="preserve">England &amp; Wales (general)</w:t>
            </w:r>
          </w:p>
        </w:tc>
        <w:tc>
          <w:tcPr>
            <w:tcW w:type="dxa" w:w="4750"/>
            <w:tcMar>
              <w:top w:type="dxa" w:w="70"/>
              <w:left w:type="dxa" w:w="100"/>
              <w:bottom w:type="dxa" w:w="70"/>
              <w:right w:type="dxa" w:w="100"/>
            </w:tcMar>
          </w:tcPr>
          <w:p>
            <w:r>
              <w:rPr>
                <w:sz w:val="20"/>
                <w:szCs w:val="20"/>
              </w:rPr>
              <w:t xml:space="preserve">From 1995</w:t>
            </w:r>
          </w:p>
        </w:tc>
      </w:tr>
      <w:tr>
        <w:tc>
          <w:tcPr>
            <w:tcW w:type="dxa" w:w="4600"/>
            <w:tcMar>
              <w:top w:type="dxa" w:w="70"/>
              <w:left w:type="dxa" w:w="100"/>
              <w:bottom w:type="dxa" w:w="70"/>
              <w:right w:type="dxa" w:w="100"/>
            </w:tcMar>
          </w:tcPr>
          <w:p>
            <w:r>
              <w:rPr>
                <w:sz w:val="20"/>
                <w:szCs w:val="20"/>
              </w:rPr>
              <w:t xml:space="preserve">Scotland</w:t>
            </w:r>
          </w:p>
        </w:tc>
        <w:tc>
          <w:tcPr>
            <w:tcW w:type="dxa" w:w="4750"/>
            <w:tcMar>
              <w:top w:type="dxa" w:w="70"/>
              <w:left w:type="dxa" w:w="100"/>
              <w:bottom w:type="dxa" w:w="70"/>
              <w:right w:type="dxa" w:w="100"/>
            </w:tcMar>
          </w:tcPr>
          <w:p>
            <w:r>
              <w:rPr>
                <w:sz w:val="20"/>
                <w:szCs w:val="20"/>
              </w:rPr>
              <w:t xml:space="preserve">From 2004</w:t>
            </w:r>
          </w:p>
        </w:tc>
      </w:tr>
      <w:tr>
        <w:tc>
          <w:tcPr>
            <w:tcW w:type="dxa" w:w="4600"/>
            <w:tcMar>
              <w:top w:type="dxa" w:w="70"/>
              <w:left w:type="dxa" w:w="100"/>
              <w:bottom w:type="dxa" w:w="70"/>
              <w:right w:type="dxa" w:w="100"/>
            </w:tcMar>
          </w:tcPr>
          <w:p>
            <w:r>
              <w:rPr>
                <w:sz w:val="20"/>
                <w:szCs w:val="20"/>
              </w:rPr>
              <w:t xml:space="preserve">Northern Ireland (country) &amp; United Kingdom (aggregate)</w:t>
            </w:r>
          </w:p>
        </w:tc>
        <w:tc>
          <w:tcPr>
            <w:tcW w:type="dxa" w:w="4750"/>
            <w:tcMar>
              <w:top w:type="dxa" w:w="70"/>
              <w:left w:type="dxa" w:w="100"/>
              <w:bottom w:type="dxa" w:w="70"/>
              <w:right w:type="dxa" w:w="100"/>
            </w:tcMar>
          </w:tcPr>
          <w:p>
            <w:r>
              <w:rPr>
                <w:sz w:val="20"/>
                <w:szCs w:val="20"/>
              </w:rPr>
              <w:t xml:space="preserve">From 2005</w:t>
            </w:r>
          </w:p>
        </w:tc>
      </w:tr>
      <w:tr>
        <w:tc>
          <w:tcPr>
            <w:tcW w:type="dxa" w:w="4600"/>
            <w:tcMar>
              <w:top w:type="dxa" w:w="70"/>
              <w:left w:type="dxa" w:w="100"/>
              <w:bottom w:type="dxa" w:w="70"/>
              <w:right w:type="dxa" w:w="100"/>
            </w:tcMar>
          </w:tcPr>
          <w:p>
            <w:r>
              <w:rPr>
                <w:sz w:val="20"/>
                <w:szCs w:val="20"/>
              </w:rPr>
              <w:t xml:space="preserve">11 Northern Ireland district councils</w:t>
            </w:r>
          </w:p>
        </w:tc>
        <w:tc>
          <w:tcPr>
            <w:tcW w:type="dxa" w:w="4750"/>
            <w:tcMar>
              <w:top w:type="dxa" w:w="70"/>
              <w:left w:type="dxa" w:w="100"/>
              <w:bottom w:type="dxa" w:w="70"/>
              <w:right w:type="dxa" w:w="100"/>
            </w:tcMar>
          </w:tcPr>
          <w:p>
            <w:r>
              <w:rPr>
                <w:sz w:val="20"/>
                <w:szCs w:val="20"/>
              </w:rPr>
              <w:t xml:space="preserve">Never published (sample size too small to split by property type)</w:t>
            </w:r>
          </w:p>
        </w:tc>
      </w:tr>
      <w:tr>
        <w:tc>
          <w:tcPr>
            <w:tcW w:type="dxa" w:w="4600"/>
            <w:tcMar>
              <w:top w:type="dxa" w:w="70"/>
              <w:left w:type="dxa" w:w="100"/>
              <w:bottom w:type="dxa" w:w="70"/>
              <w:right w:type="dxa" w:w="100"/>
            </w:tcMar>
          </w:tcPr>
          <w:p>
            <w:r>
              <w:rPr>
                <w:sz w:val="20"/>
                <w:szCs w:val="20"/>
              </w:rPr>
              <w:t xml:space="preserve">City of London</w:t>
            </w:r>
          </w:p>
        </w:tc>
        <w:tc>
          <w:tcPr>
            <w:tcW w:type="dxa" w:w="4750"/>
            <w:tcMar>
              <w:top w:type="dxa" w:w="70"/>
              <w:left w:type="dxa" w:w="100"/>
              <w:bottom w:type="dxa" w:w="70"/>
              <w:right w:type="dxa" w:w="100"/>
            </w:tcMar>
          </w:tcPr>
          <w:p>
            <w:r>
              <w:rPr>
                <w:sz w:val="20"/>
                <w:szCs w:val="20"/>
              </w:rPr>
              <w:t xml:space="preserve">Never published (same reason)</w:t>
            </w:r>
          </w:p>
        </w:tc>
      </w:tr>
    </w:tbl>
    <w:p>
      <w:pPr>
        <w:spacing w:after="160"/>
      </w:pPr>
      <w:r>
        <w:t xml:space="preserve"/>
      </w:r>
    </w:p>
    <w:p>
      <w:pPr>
        <w:spacing w:after="160"/>
      </w:pPr>
      <w:r>
        <w:t xml:space="preserve">After encoding all five cases, the residual gap was reduced to zero and fully verified.</w:t>
      </w:r>
    </w:p>
    <w:p>
      <w:pPr>
        <w:pStyle w:val="Heading2"/>
        <w:spacing w:after="120" w:before="240"/>
      </w:pPr>
      <w:r>
        <w:t xml:space="preserve">5.3 Funding breakdown (Cash / Mortgage)</w:t>
      </w:r>
    </w:p>
    <w:p>
      <w:pPr>
        <w:spacing w:after="160"/>
      </w:pPr>
      <w:r>
        <w:t xml:space="preserve">General start date: 2012. Northern Ireland's 11 districts, Northern Ireland (country), and United Kingdom (aggregate) never publish this breakdown at all — same small-sample-size reasoning as the property type case. Residual gap after correction: 0.</w:t>
      </w:r>
    </w:p>
    <w:p>
      <w:pPr>
        <w:pStyle w:val="Heading2"/>
        <w:spacing w:after="120" w:before="240"/>
      </w:pPr>
      <w:r>
        <w:t xml:space="preserve">5.4 Buyer type breakdown (First-Time Buyer / Former Owner-Occupier)</w:t>
      </w:r>
    </w:p>
    <w:p>
      <w:pPr>
        <w:spacing w:after="160"/>
      </w:pPr>
      <w:r>
        <w:t xml:space="preserve">Initial hypothesis of a 2011 start date left 4,308 unexplained gaps, all falling in a single year (2011) across 359 regions evenly — indicating the true start date was 2012, not 2011. The earlier value was an artifact of one region reporting slightly ahead of the rest, not the general rule. Same Northern Ireland exclusion group as funding data applies. Residual gap after correction: 0.</w:t>
      </w:r>
    </w:p>
    <w:p>
      <w:pPr>
        <w:pStyle w:val="Heading2"/>
        <w:spacing w:after="120" w:before="240"/>
      </w:pPr>
      <w:r>
        <w:t xml:space="preserve">5.5 Month-over-month change validity (1m%Change, 12m%Change)</w:t>
      </w:r>
    </w:p>
    <w:p>
      <w:pPr>
        <w:spacing w:after="160"/>
      </w:pPr>
      <w:r>
        <w:t xml:space="preserve">A small residual gap (0.3%) was traced to two causes: the unavoidable first row of each region's series (no prior month to compare against), and a minority of regions (28 of 405) showing a flat, repeated price for their first 2–3 reported months — most likely a provisional or backfilled opening value in the source data, for which the source itself correctly withholds a change percentage.</w:t>
      </w:r>
    </w:p>
    <w:p>
      <w:pPr>
        <w:pBdr>
          <w:top w:val="single" w:color="CCCCCC" w:sz="2"/>
          <w:bottom w:val="single" w:color="CCCCCC" w:sz="2"/>
          <w:left w:val="single" w:color="CCCCCC" w:sz="2"/>
          <w:right w:val="single" w:color="CCCCCC" w:sz="2"/>
        </w:pBdr>
        <w:shd w:fill="F2F2F2" w:val="clear"/>
        <w:spacing w:after="160" w:before="40"/>
      </w:pPr>
      <w:r>
        <w:rPr>
          <w:rFonts w:ascii="Consolas" w:cs="Consolas" w:eastAsia="Consolas" w:hAnsi="Consolas"/>
          <w:color w:val="1F3864"/>
          <w:sz w:val="19"/>
          <w:szCs w:val="19"/>
        </w:rPr>
        <w:t xml:space="preserve">df['HasValidChangeCalc'] = ~df['1m%Change'].isna()</w:t>
      </w:r>
    </w:p>
    <w:p>
      <w:pPr>
        <w:spacing w:after="160"/>
      </w:pPr>
      <w:r>
        <w:t xml:space="preserve">99.7% of rows carry a valid, trustworthy change calculation.</w:t>
      </w:r>
    </w:p>
    <w:p>
      <w:pPr>
        <w:pStyle w:val="Heading1"/>
        <w:spacing w:after="160" w:before="320"/>
      </w:pPr>
      <w:r>
        <w:t xml:space="preserve">6. Value Sanity Checks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1F3864" w:val="clear"/>
            <w:tcMar>
              <w:top w:type="dxa" w:w="80"/>
              <w:left w:type="dxa" w:w="100"/>
              <w:bottom w:type="dxa" w:w="80"/>
              <w:right w:type="dxa" w:w="100"/>
            </w:tcMar>
          </w:tcPr>
          <w:p>
            <w:r>
              <w:rPr>
                <w:b/>
                <w:bCs/>
                <w:color w:val="FFFFFF"/>
                <w:sz w:val="20"/>
                <w:szCs w:val="20"/>
              </w:rPr>
              <w:t xml:space="preserve">Check</w:t>
            </w:r>
          </w:p>
        </w:tc>
        <w:tc>
          <w:tcPr>
            <w:tcW w:type="dxa" w:w="3000"/>
            <w:shd w:fill="1F3864" w:val="clear"/>
            <w:tcMar>
              <w:top w:type="dxa" w:w="80"/>
              <w:left w:type="dxa" w:w="100"/>
              <w:bottom w:type="dxa" w:w="80"/>
              <w:right w:type="dxa" w:w="100"/>
            </w:tcMar>
          </w:tcPr>
          <w:p>
            <w:r>
              <w:rPr>
                <w:b/>
                <w:bCs/>
                <w:color w:val="FFFFFF"/>
                <w:sz w:val="20"/>
                <w:szCs w:val="20"/>
              </w:rPr>
              <w:t xml:space="preserve">Result</w:t>
            </w:r>
          </w:p>
        </w:tc>
      </w:tr>
      <w:tr>
        <w:tc>
          <w:tcPr>
            <w:tcW w:type="dxa" w:w="6350"/>
            <w:tcMar>
              <w:top w:type="dxa" w:w="70"/>
              <w:left w:type="dxa" w:w="100"/>
              <w:bottom w:type="dxa" w:w="70"/>
              <w:right w:type="dxa" w:w="100"/>
            </w:tcMar>
          </w:tcPr>
          <w:p>
            <w:r>
              <w:rPr>
                <w:sz w:val="20"/>
                <w:szCs w:val="20"/>
              </w:rPr>
              <w:t xml:space="preserve">Zero or negative AveragePrice</w:t>
            </w:r>
          </w:p>
        </w:tc>
        <w:tc>
          <w:tcPr>
            <w:tcW w:type="dxa" w:w="3000"/>
            <w:tcMar>
              <w:top w:type="dxa" w:w="70"/>
              <w:left w:type="dxa" w:w="100"/>
              <w:bottom w:type="dxa" w:w="70"/>
              <w:right w:type="dxa" w:w="100"/>
            </w:tcMar>
          </w:tcPr>
          <w:p>
            <w:r>
              <w:rPr>
                <w:sz w:val="20"/>
                <w:szCs w:val="20"/>
              </w:rPr>
              <w:t xml:space="preserve">0 rows</w:t>
            </w:r>
          </w:p>
        </w:tc>
      </w:tr>
      <w:tr>
        <w:tc>
          <w:tcPr>
            <w:tcW w:type="dxa" w:w="6350"/>
            <w:tcMar>
              <w:top w:type="dxa" w:w="70"/>
              <w:left w:type="dxa" w:w="100"/>
              <w:bottom w:type="dxa" w:w="70"/>
              <w:right w:type="dxa" w:w="100"/>
            </w:tcMar>
          </w:tcPr>
          <w:p>
            <w:r>
              <w:rPr>
                <w:sz w:val="20"/>
                <w:szCs w:val="20"/>
              </w:rPr>
              <w:t xml:space="preserve">Extreme month-on-month change (|1m%Change| &gt; 50%)</w:t>
            </w:r>
          </w:p>
        </w:tc>
        <w:tc>
          <w:tcPr>
            <w:tcW w:type="dxa" w:w="3000"/>
            <w:tcMar>
              <w:top w:type="dxa" w:w="70"/>
              <w:left w:type="dxa" w:w="100"/>
              <w:bottom w:type="dxa" w:w="70"/>
              <w:right w:type="dxa" w:w="100"/>
            </w:tcMar>
          </w:tcPr>
          <w:p>
            <w:r>
              <w:rPr>
                <w:sz w:val="20"/>
                <w:szCs w:val="20"/>
              </w:rPr>
              <w:t xml:space="preserve">0 rows</w:t>
            </w:r>
          </w:p>
        </w:tc>
      </w:tr>
    </w:tbl>
    <w:p>
      <w:pPr>
        <w:spacing w:after="160"/>
      </w:pPr>
      <w:r>
        <w:t xml:space="preserve"/>
      </w:r>
    </w:p>
    <w:p>
      <w:pPr>
        <w:spacing w:after="160"/>
      </w:pPr>
      <w:r>
        <w:t xml:space="preserve">No data-entry anomalies were found; the dataset's numeric values are internally consistent.</w:t>
      </w:r>
    </w:p>
    <w:p>
      <w:pPr>
        <w:pStyle w:val="Heading1"/>
        <w:spacing w:after="160" w:before="320"/>
      </w:pPr>
      <w:r>
        <w:t xml:space="preserve">7. Flags Created</w:t>
      </w:r>
    </w:p>
    <w:p>
      <w:pPr>
        <w:spacing w:after="160"/>
      </w:pPr>
      <w:r>
        <w:t xml:space="preserve">Rather than deleting or imputing structurally missing data, five boolean columns were added so downstream analysis can deliberately scope itself to rows where the relevant data genuinely exists:</w:t>
      </w:r>
    </w:p>
    <w:p>
      <w:pPr>
        <w:pStyle w:val="ListParagraph"/>
        <w:numPr>
          <w:ilvl w:val="0"/>
          <w:numId w:val="2"/>
        </w:numPr>
        <w:spacing w:after="80"/>
      </w:pPr>
      <w:r>
        <w:t xml:space="preserve">HasSeasonalAdjustment</w:t>
      </w:r>
    </w:p>
    <w:p>
      <w:pPr>
        <w:pStyle w:val="ListParagraph"/>
        <w:numPr>
          <w:ilvl w:val="0"/>
          <w:numId w:val="2"/>
        </w:numPr>
        <w:spacing w:after="80"/>
      </w:pPr>
      <w:r>
        <w:t xml:space="preserve">HasPropertyTypeBreakdown</w:t>
      </w:r>
    </w:p>
    <w:p>
      <w:pPr>
        <w:pStyle w:val="ListParagraph"/>
        <w:numPr>
          <w:ilvl w:val="0"/>
          <w:numId w:val="2"/>
        </w:numPr>
        <w:spacing w:after="80"/>
      </w:pPr>
      <w:r>
        <w:t xml:space="preserve">HasFundingBreakdown</w:t>
      </w:r>
    </w:p>
    <w:p>
      <w:pPr>
        <w:pStyle w:val="ListParagraph"/>
        <w:numPr>
          <w:ilvl w:val="0"/>
          <w:numId w:val="2"/>
        </w:numPr>
        <w:spacing w:after="80"/>
      </w:pPr>
      <w:r>
        <w:t xml:space="preserve">HasBuyerTypeBreakdown</w:t>
      </w:r>
    </w:p>
    <w:p>
      <w:pPr>
        <w:pStyle w:val="ListParagraph"/>
        <w:numPr>
          <w:ilvl w:val="0"/>
          <w:numId w:val="2"/>
        </w:numPr>
        <w:spacing w:after="80"/>
      </w:pPr>
      <w:r>
        <w:t xml:space="preserve">HasValidChangeCalc</w:t>
      </w:r>
    </w:p>
    <w:p>
      <w:pPr>
        <w:pStyle w:val="Heading1"/>
        <w:spacing w:after="160" w:before="320"/>
      </w:pPr>
      <w:r>
        <w:t xml:space="preserve">8. Outcomes</w:t>
      </w:r>
    </w:p>
    <w:p>
      <w:pPr>
        <w:pStyle w:val="ListParagraph"/>
        <w:numPr>
          <w:ilvl w:val="0"/>
          <w:numId w:val="2"/>
        </w:numPr>
        <w:spacing w:after="80"/>
      </w:pPr>
      <w:r>
        <w:t xml:space="preserve">A critical date-parsing bug was identified and fixed before it could silently corrupt every downstream time-based analysis.</w:t>
      </w:r>
    </w:p>
    <w:p>
      <w:pPr>
        <w:pStyle w:val="ListParagraph"/>
        <w:numPr>
          <w:ilvl w:val="0"/>
          <w:numId w:val="2"/>
        </w:numPr>
        <w:spacing w:after="80"/>
      </w:pPr>
      <w:r>
        <w:t xml:space="preserve">Every missing-data pattern in the dataset (150,705 rows, 54 columns) is now explained by a verified, evidence-based rule rather than an assumption.</w:t>
      </w:r>
    </w:p>
    <w:p>
      <w:pPr>
        <w:pStyle w:val="ListParagraph"/>
        <w:numPr>
          <w:ilvl w:val="0"/>
          <w:numId w:val="2"/>
        </w:numPr>
        <w:spacing w:after="80"/>
      </w:pPr>
      <w:r>
        <w:t xml:space="preserve">Five reusable flag columns allow any future analysis or model to correctly scope itself to valid data, rather than treating structural gaps as errors.</w:t>
      </w:r>
    </w:p>
    <w:p>
      <w:pPr>
        <w:pStyle w:val="ListParagraph"/>
        <w:numPr>
          <w:ilvl w:val="0"/>
          <w:numId w:val="2"/>
        </w:numPr>
        <w:spacing w:after="80"/>
      </w:pPr>
      <w:r>
        <w:t xml:space="preserve">Zero unexplained missing values remain in any of the five investigated column groups; residual gaps are small (≤12 rows) and documented rather than silently ignored.</w:t>
      </w:r>
    </w:p>
    <w:p>
      <w:pPr>
        <w:pStyle w:val="ListParagraph"/>
        <w:numPr>
          <w:ilvl w:val="0"/>
          <w:numId w:val="2"/>
        </w:numPr>
        <w:spacing w:after="80"/>
      </w:pPr>
      <w:r>
        <w:t xml:space="preserve">Zero data-entry anomalies (impossible prices, extreme swings) were found in the cleaned data.</w:t>
      </w:r>
    </w:p>
    <w:p>
      <w:pPr>
        <w:pStyle w:val="ListParagraph"/>
        <w:numPr>
          <w:ilvl w:val="0"/>
          <w:numId w:val="2"/>
        </w:numPr>
        <w:spacing w:after="80"/>
      </w:pPr>
      <w:r>
        <w:t xml:space="preserve">The cleaned dataset (uk_hpi_stage1_cleaned.csv) is saved and ready for the feature engineering and exploratory analysis stages.</w:t>
      </w:r>
    </w:p>
    <w:p>
      <w:pPr>
        <w:pStyle w:val="Heading1"/>
        <w:spacing w:after="160" w:before="320"/>
      </w:pPr>
      <w:r>
        <w:t xml:space="preserve">9. Time Investment</w:t>
      </w:r>
    </w:p>
    <w:p>
      <w:pPr>
        <w:spacing w:after="160"/>
      </w:pPr>
      <w:r>
        <w:t xml:space="preserve">This preprocessing stage took approximately 2–3 days, the majority of which was spent on the missing-value investigation in Section 5 — confirming or rejecting hypotheses against the real data rather than applying a single blanket rule. This time was considered well spent: several “obvious” assumptions (e.g. a flat 1995 or 2011 start date) turned out to be wrong or incomplete once tested, and would have introduced silent errors into any model or chart built on top of them.</w:t>
      </w:r>
    </w:p>
    <w:p>
      <w:pPr>
        <w:pStyle w:val="Heading1"/>
        <w:spacing w:after="160" w:before="320"/>
      </w:pPr>
      <w:r>
        <w:t xml:space="preserve">10. Next Steps</w:t>
      </w:r>
    </w:p>
    <w:p>
      <w:pPr>
        <w:pStyle w:val="ListParagraph"/>
        <w:numPr>
          <w:ilvl w:val="0"/>
          <w:numId w:val="2"/>
        </w:numPr>
        <w:spacing w:after="80"/>
      </w:pPr>
      <w:r>
        <w:t xml:space="preserve">Feature engineering: Year, Month, Quarter, Season, RegionTier, rolling 3-month average price, new-build price premium.</w:t>
      </w:r>
    </w:p>
    <w:p>
      <w:pPr>
        <w:pStyle w:val="ListParagraph"/>
        <w:numPr>
          <w:ilvl w:val="0"/>
          <w:numId w:val="2"/>
        </w:numPr>
        <w:spacing w:after="80"/>
      </w:pPr>
      <w:r>
        <w:t xml:space="preserve">Exploratory data analysis: regional growth comparison, property-type price spread, seasonality check.</w:t>
      </w:r>
    </w:p>
    <w:p>
      <w:pPr>
        <w:pStyle w:val="ListParagraph"/>
        <w:numPr>
          <w:ilvl w:val="0"/>
          <w:numId w:val="2"/>
        </w:numPr>
        <w:spacing w:after="80"/>
      </w:pPr>
      <w:r>
        <w:t xml:space="preserve">Design a normalized MySQL schema (properties, regions, price_history) and load the cleaned data.</w:t>
      </w:r>
    </w:p>
    <w:p>
      <w:pPr>
        <w:pStyle w:val="ListParagraph"/>
        <w:numPr>
          <w:ilvl w:val="0"/>
          <w:numId w:val="2"/>
        </w:numPr>
        <w:spacing w:after="80"/>
      </w:pPr>
      <w:r>
        <w:t xml:space="preserve">Train and evaluate baseline regression models (Linear Regression, then Random Forest/XGBoost) pulling directly from MySQL.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2026-07-14T09:33:55.231Z</dcterms:created>
  <dcterms:modified xsi:type="dcterms:W3CDTF">2026-07-14T09:33:55.246Z</dcterms:modified>
</cp:coreProperties>
</file>

<file path=docProps/custom.xml><?xml version="1.0" encoding="utf-8"?>
<Properties xmlns="http://schemas.openxmlformats.org/officeDocument/2006/custom-properties" xmlns:vt="http://schemas.openxmlformats.org/officeDocument/2006/docPropsVTypes"/>
</file>