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D4A853"/>
          <w:sz w:val="72"/>
          <w:szCs w:val="72"/>
        </w:rPr>
        <w:t xml:space="preserve">⬡  AETHERIS  ⬡</w:t>
      </w:r>
    </w:p>
    <w:p>
      <w:pPr>
        <w:spacing w:before="0" w:after="60"/>
        <w:jc w:val="center"/>
      </w:pPr>
      <w:r>
        <w:rPr>
          <w:rFonts w:ascii="Arial" w:cs="Arial" w:eastAsia="Arial" w:hAnsi="Arial"/>
          <w:b/>
          <w:bCs/>
          <w:color w:val="FFFFFF"/>
          <w:sz w:val="40"/>
          <w:szCs w:val="40"/>
        </w:rPr>
        <w:t xml:space="preserve">BACKLOG PRODUIT EXHAUSTIF</w:t>
      </w:r>
    </w:p>
    <w:p>
      <w:pPr>
        <w:shd w:fill="5B7FFF" w:val="clear"/>
        <w:spacing w:before="0" w:after="200"/>
        <w:jc w:val="center"/>
      </w:pPr>
      <w:r>
        <w:rPr>
          <w:rFonts w:ascii="Arial" w:cs="Arial" w:eastAsia="Arial" w:hAnsi="Arial"/>
          <w:i/>
          <w:iCs/>
          <w:color w:val="FFFFFF"/>
          <w:sz w:val="26"/>
          <w:szCs w:val="26"/>
        </w:rPr>
        <w:t xml:space="preserve">Journal de Trading de Nouvelle Génération — Feuille de Route 2026</w:t>
      </w:r>
    </w:p>
    <w:p>
      <w:pPr>
        <w:pBdr>
          <w:bottom w:val="single" w:color="D4A853" w:sz="8" w:space="1"/>
        </w:pBdr>
        <w:spacing w:before="100" w:after="10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A3A5C" w:val="clear"/>
            <w:tcMar>
              <w:top w:type="dxa" w:w="160"/>
              <w:left w:type="dxa" w:w="120"/>
              <w:bottom w:type="dxa" w:w="160"/>
              <w:right w:type="dxa" w:w="120"/>
            </w:tcMar>
          </w:tcPr>
          <w:p>
            <w:pPr>
              <w:jc w:val="center"/>
            </w:pPr>
            <w:r>
              <w:rPr>
                <w:rFonts w:ascii="Arial" w:cs="Arial" w:eastAsia="Arial" w:hAnsi="Arial"/>
                <w:b/>
                <w:bCs/>
                <w:color w:val="D4A853"/>
                <w:sz w:val="28"/>
                <w:szCs w:val="28"/>
              </w:rPr>
              <w:t xml:space="preserve">PHASE 1</w:t>
            </w:r>
          </w:p>
          <w:p>
            <w:pPr>
              <w:jc w:val="center"/>
            </w:pPr>
            <w:r>
              <w:rPr>
                <w:rFonts w:ascii="Arial" w:cs="Arial" w:eastAsia="Arial" w:hAnsi="Arial"/>
                <w:color w:val="FFFFFF"/>
                <w:sz w:val="22"/>
                <w:szCs w:val="22"/>
              </w:rPr>
              <w:t xml:space="preserve">MVP</w:t>
            </w:r>
          </w:p>
        </w:tc>
        <w:tc>
          <w:tcPr>
            <w:tcBorders>
              <w:top w:val="none" w:color="FFFFFF" w:sz="0"/>
              <w:left w:val="none" w:color="FFFFFF" w:sz="0"/>
              <w:bottom w:val="none" w:color="FFFFFF" w:sz="0"/>
              <w:right w:val="none" w:color="FFFFFF" w:sz="0"/>
            </w:tcBorders>
            <w:shd w:fill="1A4A2E" w:val="clear"/>
            <w:tcMar>
              <w:top w:type="dxa" w:w="160"/>
              <w:left w:type="dxa" w:w="120"/>
              <w:bottom w:type="dxa" w:w="160"/>
              <w:right w:type="dxa" w:w="120"/>
            </w:tcMar>
          </w:tcPr>
          <w:p>
            <w:pPr>
              <w:jc w:val="center"/>
            </w:pPr>
            <w:r>
              <w:rPr>
                <w:rFonts w:ascii="Arial" w:cs="Arial" w:eastAsia="Arial" w:hAnsi="Arial"/>
                <w:b/>
                <w:bCs/>
                <w:color w:val="D4A853"/>
                <w:sz w:val="28"/>
                <w:szCs w:val="28"/>
              </w:rPr>
              <w:t xml:space="preserve">PHASE 2</w:t>
            </w:r>
          </w:p>
          <w:p>
            <w:pPr>
              <w:jc w:val="center"/>
            </w:pPr>
            <w:r>
              <w:rPr>
                <w:rFonts w:ascii="Arial" w:cs="Arial" w:eastAsia="Arial" w:hAnsi="Arial"/>
                <w:color w:val="FFFFFF"/>
                <w:sz w:val="22"/>
                <w:szCs w:val="22"/>
              </w:rPr>
              <w:t xml:space="preserve">Psychologie</w:t>
            </w:r>
          </w:p>
        </w:tc>
        <w:tc>
          <w:tcPr>
            <w:tcBorders>
              <w:top w:val="none" w:color="FFFFFF" w:sz="0"/>
              <w:left w:val="none" w:color="FFFFFF" w:sz="0"/>
              <w:bottom w:val="none" w:color="FFFFFF" w:sz="0"/>
              <w:right w:val="none" w:color="FFFFFF" w:sz="0"/>
            </w:tcBorders>
            <w:shd w:fill="3A1A5C" w:val="clear"/>
            <w:tcMar>
              <w:top w:type="dxa" w:w="160"/>
              <w:left w:type="dxa" w:w="120"/>
              <w:bottom w:type="dxa" w:w="160"/>
              <w:right w:type="dxa" w:w="120"/>
            </w:tcMar>
          </w:tcPr>
          <w:p>
            <w:pPr>
              <w:jc w:val="center"/>
            </w:pPr>
            <w:r>
              <w:rPr>
                <w:rFonts w:ascii="Arial" w:cs="Arial" w:eastAsia="Arial" w:hAnsi="Arial"/>
                <w:b/>
                <w:bCs/>
                <w:color w:val="D4A853"/>
                <w:sz w:val="28"/>
                <w:szCs w:val="28"/>
              </w:rPr>
              <w:t xml:space="preserve">PHASE 3</w:t>
            </w:r>
          </w:p>
          <w:p>
            <w:pPr>
              <w:jc w:val="center"/>
            </w:pPr>
            <w:r>
              <w:rPr>
                <w:rFonts w:ascii="Arial" w:cs="Arial" w:eastAsia="Arial" w:hAnsi="Arial"/>
                <w:color w:val="FFFFFF"/>
                <w:sz w:val="22"/>
                <w:szCs w:val="22"/>
              </w:rPr>
              <w:t xml:space="preserve">IA &amp; Institutionnel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0F4FF" w:val="clear"/>
            <w:tcMar>
              <w:top w:type="dxa" w:w="120"/>
              <w:left w:type="dxa" w:w="80"/>
              <w:bottom w:type="dxa" w:w="120"/>
              <w:right w:type="dxa" w:w="80"/>
            </w:tcMar>
          </w:tcPr>
          <w:p>
            <w:pPr>
              <w:jc w:val="center"/>
            </w:pPr>
            <w:r>
              <w:rPr>
                <w:rFonts w:ascii="Arial" w:cs="Arial" w:eastAsia="Arial" w:hAnsi="Arial"/>
                <w:b/>
                <w:bCs/>
                <w:color w:val="5B7FFF"/>
                <w:sz w:val="48"/>
                <w:szCs w:val="48"/>
              </w:rPr>
              <w:t xml:space="preserve">13</w:t>
            </w:r>
          </w:p>
          <w:p>
            <w:pPr>
              <w:jc w:val="center"/>
            </w:pPr>
            <w:r>
              <w:rPr>
                <w:rFonts w:ascii="Arial" w:cs="Arial" w:eastAsia="Arial" w:hAnsi="Arial"/>
                <w:color w:val="3A3A5C"/>
                <w:sz w:val="20"/>
                <w:szCs w:val="20"/>
              </w:rPr>
              <w:t xml:space="preserve">Modules</w:t>
            </w:r>
          </w:p>
        </w:tc>
        <w:tc>
          <w:tcPr>
            <w:tcBorders>
              <w:top w:val="none" w:color="FFFFFF" w:sz="0"/>
              <w:left w:val="none" w:color="FFFFFF" w:sz="0"/>
              <w:bottom w:val="none" w:color="FFFFFF" w:sz="0"/>
              <w:right w:val="none" w:color="FFFFFF" w:sz="0"/>
            </w:tcBorders>
            <w:shd w:fill="F0F4FF" w:val="clear"/>
            <w:tcMar>
              <w:top w:type="dxa" w:w="120"/>
              <w:left w:type="dxa" w:w="80"/>
              <w:bottom w:type="dxa" w:w="120"/>
              <w:right w:type="dxa" w:w="80"/>
            </w:tcMar>
          </w:tcPr>
          <w:p>
            <w:pPr>
              <w:jc w:val="center"/>
            </w:pPr>
            <w:r>
              <w:rPr>
                <w:rFonts w:ascii="Arial" w:cs="Arial" w:eastAsia="Arial" w:hAnsi="Arial"/>
                <w:b/>
                <w:bCs/>
                <w:color w:val="D4A853"/>
                <w:sz w:val="48"/>
                <w:szCs w:val="48"/>
              </w:rPr>
              <w:t xml:space="preserve">5</w:t>
            </w:r>
          </w:p>
          <w:p>
            <w:pPr>
              <w:jc w:val="center"/>
            </w:pPr>
            <w:r>
              <w:rPr>
                <w:rFonts w:ascii="Arial" w:cs="Arial" w:eastAsia="Arial" w:hAnsi="Arial"/>
                <w:color w:val="3A3A5C"/>
                <w:sz w:val="20"/>
                <w:szCs w:val="20"/>
              </w:rPr>
              <w:t xml:space="preserve">USPs Rares</w:t>
            </w:r>
          </w:p>
        </w:tc>
        <w:tc>
          <w:tcPr>
            <w:tcBorders>
              <w:top w:val="none" w:color="FFFFFF" w:sz="0"/>
              <w:left w:val="none" w:color="FFFFFF" w:sz="0"/>
              <w:bottom w:val="none" w:color="FFFFFF" w:sz="0"/>
              <w:right w:val="none" w:color="FFFFFF" w:sz="0"/>
            </w:tcBorders>
            <w:shd w:fill="F0F4FF" w:val="clear"/>
            <w:tcMar>
              <w:top w:type="dxa" w:w="120"/>
              <w:left w:type="dxa" w:w="80"/>
              <w:bottom w:type="dxa" w:w="120"/>
              <w:right w:type="dxa" w:w="80"/>
            </w:tcMar>
          </w:tcPr>
          <w:p>
            <w:pPr>
              <w:jc w:val="center"/>
            </w:pPr>
            <w:r>
              <w:rPr>
                <w:rFonts w:ascii="Arial" w:cs="Arial" w:eastAsia="Arial" w:hAnsi="Arial"/>
                <w:b/>
                <w:bCs/>
                <w:color w:val="6600CC"/>
                <w:sz w:val="48"/>
                <w:szCs w:val="48"/>
              </w:rPr>
              <w:t xml:space="preserve">3</w:t>
            </w:r>
          </w:p>
          <w:p>
            <w:pPr>
              <w:jc w:val="center"/>
            </w:pPr>
            <w:r>
              <w:rPr>
                <w:rFonts w:ascii="Arial" w:cs="Arial" w:eastAsia="Arial" w:hAnsi="Arial"/>
                <w:color w:val="3A3A5C"/>
                <w:sz w:val="20"/>
                <w:szCs w:val="20"/>
              </w:rPr>
              <w:t xml:space="preserve">Formules LaTeX</w:t>
            </w:r>
          </w:p>
        </w:tc>
        <w:tc>
          <w:tcPr>
            <w:tcBorders>
              <w:top w:val="none" w:color="FFFFFF" w:sz="0"/>
              <w:left w:val="none" w:color="FFFFFF" w:sz="0"/>
              <w:bottom w:val="none" w:color="FFFFFF" w:sz="0"/>
              <w:right w:val="none" w:color="FFFFFF" w:sz="0"/>
            </w:tcBorders>
            <w:shd w:fill="F0F4FF" w:val="clear"/>
            <w:tcMar>
              <w:top w:type="dxa" w:w="120"/>
              <w:left w:type="dxa" w:w="80"/>
              <w:bottom w:type="dxa" w:w="120"/>
              <w:right w:type="dxa" w:w="80"/>
            </w:tcMar>
          </w:tcPr>
          <w:p>
            <w:pPr>
              <w:jc w:val="center"/>
            </w:pPr>
            <w:r>
              <w:rPr>
                <w:rFonts w:ascii="Arial" w:cs="Arial" w:eastAsia="Arial" w:hAnsi="Arial"/>
                <w:b/>
                <w:bCs/>
                <w:color w:val="CC3300"/>
                <w:sz w:val="48"/>
                <w:szCs w:val="48"/>
              </w:rPr>
              <w:t xml:space="preserve">1</w:t>
            </w:r>
          </w:p>
          <w:p>
            <w:pPr>
              <w:jc w:val="center"/>
            </w:pPr>
            <w:r>
              <w:rPr>
                <w:rFonts w:ascii="Arial" w:cs="Arial" w:eastAsia="Arial" w:hAnsi="Arial"/>
                <w:color w:val="3A3A5C"/>
                <w:sz w:val="20"/>
                <w:szCs w:val="20"/>
              </w:rPr>
              <w:t xml:space="preserve">MOAT Compétitif</w:t>
            </w:r>
          </w:p>
        </w:tc>
      </w:tr>
    </w:tbl>
    <w:p>
      <w:pPr>
        <w:spacing w:before="300" w:after="0"/>
      </w:pPr>
      <w:r>
        <w:t xml:space="preserve"/>
      </w:r>
    </w:p>
    <w:p>
      <w:pPr>
        <w:jc w:val="center"/>
      </w:pPr>
      <w:r>
        <w:rPr>
          <w:rFonts w:ascii="Arial" w:cs="Arial" w:eastAsia="Arial" w:hAnsi="Arial"/>
          <w:i/>
          <w:iCs/>
          <w:color w:val="888888"/>
          <w:sz w:val="18"/>
          <w:szCs w:val="18"/>
        </w:rPr>
        <w:t xml:space="preserve">Basé sur l'analyse comparative vs TraderSync · Edgewonk · Tradervue · TradesViz · TradeZella</w:t>
      </w:r>
    </w:p>
    <w:p>
      <w:r>
        <w:br w:type="page"/>
      </w:r>
    </w:p>
    <w:p>
      <w:pPr>
        <w:pStyle w:val="Heading1"/>
        <w:spacing w:before="200" w:after="200"/>
      </w:pPr>
      <w:r>
        <w:rPr>
          <w:rFonts w:ascii="Arial" w:cs="Arial" w:eastAsia="Arial" w:hAnsi="Arial"/>
          <w:b/>
          <w:bCs/>
          <w:color w:val="0A0E1A"/>
          <w:sz w:val="34"/>
          <w:szCs w:val="34"/>
        </w:rPr>
        <w:t xml:space="preserve">TABLE DES MATIÈRES</w:t>
      </w:r>
    </w:p>
    <w:p>
      <w:pPr>
        <w:pBdr>
          <w:bottom w:val="single" w:color="5B7FFF" w:sz="8"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Borders>
              <w:top w:val="none" w:color="FFFFFF" w:sz="0"/>
              <w:left w:val="none" w:color="FFFFFF" w:sz="0"/>
              <w:bottom w:val="none" w:color="FFFFFF" w:sz="0"/>
              <w:right w:val="none" w:color="FFFFFF" w:sz="0"/>
            </w:tcBorders>
            <w:shd w:fill="5B7FFF" w:val="clear"/>
            <w:tcMar>
              <w:top w:type="dxa" w:w="80"/>
              <w:left w:type="dxa" w:w="120"/>
              <w:bottom w:type="dxa" w:w="80"/>
              <w:right w:type="dxa" w:w="80"/>
            </w:tcMar>
          </w:tcPr>
          <w:p>
            <w:r>
              <w:rPr>
                <w:rFonts w:ascii="Arial" w:cs="Arial" w:eastAsia="Arial" w:hAnsi="Arial"/>
                <w:b/>
                <w:bCs/>
                <w:color w:val="FFFFFF"/>
                <w:sz w:val="22"/>
                <w:szCs w:val="22"/>
              </w:rPr>
              <w:t xml:space="preserve">I.</w:t>
            </w:r>
          </w:p>
        </w:tc>
        <w:tc>
          <w:tcPr>
            <w:tcBorders>
              <w:top w:val="none" w:color="FFFFFF" w:sz="0"/>
              <w:left w:val="none" w:color="FFFFFF" w:sz="0"/>
              <w:bottom w:val="single" w:color="DDDDDD" w:sz="1"/>
              <w:right w:val="none" w:color="FFFFFF" w:sz="0"/>
            </w:tcBorders>
            <w:tcMar>
              <w:top w:type="dxa" w:w="80"/>
              <w:left w:type="dxa" w:w="120"/>
              <w:bottom w:type="dxa" w:w="80"/>
              <w:right w:type="dxa" w:w="80"/>
            </w:tcMar>
          </w:tcPr>
          <w:p>
            <w:r>
              <w:rPr>
                <w:rFonts w:ascii="Arial" w:cs="Arial" w:eastAsia="Arial" w:hAnsi="Arial"/>
                <w:b/>
                <w:bCs/>
                <w:color w:val="1A1A2E"/>
                <w:sz w:val="22"/>
                <w:szCs w:val="22"/>
              </w:rPr>
              <w:t xml:space="preserve">PHASE 1 — MVP Standard de Conformité</w:t>
            </w:r>
          </w:p>
          <w:p>
            <w:r>
              <w:rPr>
                <w:rFonts w:ascii="Arial" w:cs="Arial" w:eastAsia="Arial" w:hAnsi="Arial"/>
                <w:i/>
                <w:iCs/>
                <w:color w:val="888888"/>
                <w:sz w:val="18"/>
                <w:szCs w:val="18"/>
              </w:rPr>
              <w:t xml:space="preserve">Infrastructure, Synchronisation, Métriques</w:t>
            </w:r>
          </w:p>
        </w:tc>
        <w:tc>
          <w:tcPr>
            <w:tcBorders>
              <w:top w:val="none" w:color="FFFFFF" w:sz="0"/>
              <w:left w:val="none" w:color="FFFFFF" w:sz="0"/>
              <w:bottom w:val="single" w:color="DDDDDD" w:sz="1"/>
              <w:right w:val="none" w:color="FFFFFF" w:sz="0"/>
            </w:tcBorders>
            <w:tcMar>
              <w:top w:type="dxa" w:w="80"/>
              <w:left w:type="dxa" w:w="80"/>
              <w:bottom w:type="dxa" w:w="80"/>
              <w:right w:type="dxa" w:w="120"/>
            </w:tcMar>
          </w:tcPr>
          <w:p>
            <w:pPr>
              <w:jc w:val="right"/>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Borders>
              <w:top w:val="none" w:color="FFFFFF" w:sz="0"/>
              <w:left w:val="none" w:color="FFFFFF" w:sz="0"/>
              <w:bottom w:val="none" w:color="FFFFFF" w:sz="0"/>
              <w:right w:val="none" w:color="FFFFFF" w:sz="0"/>
            </w:tcBorders>
            <w:shd w:fill="5B7FFF" w:val="clear"/>
            <w:tcMar>
              <w:top w:type="dxa" w:w="80"/>
              <w:left w:type="dxa" w:w="120"/>
              <w:bottom w:type="dxa" w:w="80"/>
              <w:right w:type="dxa" w:w="80"/>
            </w:tcMar>
          </w:tcPr>
          <w:p>
            <w:r>
              <w:rPr>
                <w:rFonts w:ascii="Arial" w:cs="Arial" w:eastAsia="Arial" w:hAnsi="Arial"/>
                <w:b/>
                <w:bCs/>
                <w:color w:val="FFFFFF"/>
                <w:sz w:val="22"/>
                <w:szCs w:val="22"/>
              </w:rPr>
              <w:t xml:space="preserve">II.</w:t>
            </w:r>
          </w:p>
        </w:tc>
        <w:tc>
          <w:tcPr>
            <w:tcBorders>
              <w:top w:val="none" w:color="FFFFFF" w:sz="0"/>
              <w:left w:val="none" w:color="FFFFFF" w:sz="0"/>
              <w:bottom w:val="single" w:color="DDDDDD" w:sz="1"/>
              <w:right w:val="none" w:color="FFFFFF" w:sz="0"/>
            </w:tcBorders>
            <w:tcMar>
              <w:top w:type="dxa" w:w="80"/>
              <w:left w:type="dxa" w:w="120"/>
              <w:bottom w:type="dxa" w:w="80"/>
              <w:right w:type="dxa" w:w="80"/>
            </w:tcMar>
          </w:tcPr>
          <w:p>
            <w:r>
              <w:rPr>
                <w:rFonts w:ascii="Arial" w:cs="Arial" w:eastAsia="Arial" w:hAnsi="Arial"/>
                <w:b/>
                <w:bCs/>
                <w:color w:val="1A1A2E"/>
                <w:sz w:val="22"/>
                <w:szCs w:val="22"/>
              </w:rPr>
              <w:t xml:space="preserve">PHASE 2 — Maturité : Psychologie &amp; Discipline Active</w:t>
            </w:r>
          </w:p>
          <w:p>
            <w:r>
              <w:rPr>
                <w:rFonts w:ascii="Arial" w:cs="Arial" w:eastAsia="Arial" w:hAnsi="Arial"/>
                <w:i/>
                <w:iCs/>
                <w:color w:val="888888"/>
                <w:sz w:val="18"/>
                <w:szCs w:val="18"/>
              </w:rPr>
              <w:t xml:space="preserve">Émotions, Prévention, Gamification</w:t>
            </w:r>
          </w:p>
        </w:tc>
        <w:tc>
          <w:tcPr>
            <w:tcBorders>
              <w:top w:val="none" w:color="FFFFFF" w:sz="0"/>
              <w:left w:val="none" w:color="FFFFFF" w:sz="0"/>
              <w:bottom w:val="single" w:color="DDDDDD" w:sz="1"/>
              <w:right w:val="none" w:color="FFFFFF" w:sz="0"/>
            </w:tcBorders>
            <w:tcMar>
              <w:top w:type="dxa" w:w="80"/>
              <w:left w:type="dxa" w:w="80"/>
              <w:bottom w:type="dxa" w:w="80"/>
              <w:right w:type="dxa" w:w="120"/>
            </w:tcMar>
          </w:tcPr>
          <w:p>
            <w:pPr>
              <w:jc w:val="right"/>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Borders>
              <w:top w:val="none" w:color="FFFFFF" w:sz="0"/>
              <w:left w:val="none" w:color="FFFFFF" w:sz="0"/>
              <w:bottom w:val="none" w:color="FFFFFF" w:sz="0"/>
              <w:right w:val="none" w:color="FFFFFF" w:sz="0"/>
            </w:tcBorders>
            <w:shd w:fill="5B7FFF" w:val="clear"/>
            <w:tcMar>
              <w:top w:type="dxa" w:w="80"/>
              <w:left w:type="dxa" w:w="120"/>
              <w:bottom w:type="dxa" w:w="80"/>
              <w:right w:type="dxa" w:w="80"/>
            </w:tcMar>
          </w:tcPr>
          <w:p>
            <w:r>
              <w:rPr>
                <w:rFonts w:ascii="Arial" w:cs="Arial" w:eastAsia="Arial" w:hAnsi="Arial"/>
                <w:b/>
                <w:bCs/>
                <w:color w:val="FFFFFF"/>
                <w:sz w:val="22"/>
                <w:szCs w:val="22"/>
              </w:rPr>
              <w:t xml:space="preserve">III.</w:t>
            </w:r>
          </w:p>
        </w:tc>
        <w:tc>
          <w:tcPr>
            <w:tcBorders>
              <w:top w:val="none" w:color="FFFFFF" w:sz="0"/>
              <w:left w:val="none" w:color="FFFFFF" w:sz="0"/>
              <w:bottom w:val="single" w:color="DDDDDD" w:sz="1"/>
              <w:right w:val="none" w:color="FFFFFF" w:sz="0"/>
            </w:tcBorders>
            <w:tcMar>
              <w:top w:type="dxa" w:w="80"/>
              <w:left w:type="dxa" w:w="120"/>
              <w:bottom w:type="dxa" w:w="80"/>
              <w:right w:type="dxa" w:w="80"/>
            </w:tcMar>
          </w:tcPr>
          <w:p>
            <w:r>
              <w:rPr>
                <w:rFonts w:ascii="Arial" w:cs="Arial" w:eastAsia="Arial" w:hAnsi="Arial"/>
                <w:b/>
                <w:bCs/>
                <w:color w:val="1A1A2E"/>
                <w:sz w:val="22"/>
                <w:szCs w:val="22"/>
              </w:rPr>
              <w:t xml:space="preserve">PHASE 3 — Apogée : IA, Flux Institutionnels &amp; 3D</w:t>
            </w:r>
          </w:p>
          <w:p>
            <w:r>
              <w:rPr>
                <w:rFonts w:ascii="Arial" w:cs="Arial" w:eastAsia="Arial" w:hAnsi="Arial"/>
                <w:i/>
                <w:iCs/>
                <w:color w:val="888888"/>
                <w:sz w:val="18"/>
                <w:szCs w:val="18"/>
              </w:rPr>
              <w:t xml:space="preserve">Oracle, Whales, Shadow Index, Galaxie</w:t>
            </w:r>
          </w:p>
        </w:tc>
        <w:tc>
          <w:tcPr>
            <w:tcBorders>
              <w:top w:val="none" w:color="FFFFFF" w:sz="0"/>
              <w:left w:val="none" w:color="FFFFFF" w:sz="0"/>
              <w:bottom w:val="single" w:color="DDDDDD" w:sz="1"/>
              <w:right w:val="none" w:color="FFFFFF" w:sz="0"/>
            </w:tcBorders>
            <w:tcMar>
              <w:top w:type="dxa" w:w="80"/>
              <w:left w:type="dxa" w:w="80"/>
              <w:bottom w:type="dxa" w:w="80"/>
              <w:right w:type="dxa" w:w="120"/>
            </w:tcMar>
          </w:tcPr>
          <w:p>
            <w:pPr>
              <w:jc w:val="right"/>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Borders>
              <w:top w:val="none" w:color="FFFFFF" w:sz="0"/>
              <w:left w:val="none" w:color="FFFFFF" w:sz="0"/>
              <w:bottom w:val="none" w:color="FFFFFF" w:sz="0"/>
              <w:right w:val="none" w:color="FFFFFF" w:sz="0"/>
            </w:tcBorders>
            <w:shd w:fill="5B7FFF" w:val="clear"/>
            <w:tcMar>
              <w:top w:type="dxa" w:w="80"/>
              <w:left w:type="dxa" w:w="120"/>
              <w:bottom w:type="dxa" w:w="80"/>
              <w:right w:type="dxa" w:w="80"/>
            </w:tcMar>
          </w:tcPr>
          <w:p>
            <w:r>
              <w:rPr>
                <w:rFonts w:ascii="Arial" w:cs="Arial" w:eastAsia="Arial" w:hAnsi="Arial"/>
                <w:b/>
                <w:bCs/>
                <w:color w:val="FFFFFF"/>
                <w:sz w:val="22"/>
                <w:szCs w:val="22"/>
              </w:rPr>
              <w:t xml:space="preserve">IV.</w:t>
            </w:r>
          </w:p>
        </w:tc>
        <w:tc>
          <w:tcPr>
            <w:tcBorders>
              <w:top w:val="none" w:color="FFFFFF" w:sz="0"/>
              <w:left w:val="none" w:color="FFFFFF" w:sz="0"/>
              <w:bottom w:val="single" w:color="DDDDDD" w:sz="1"/>
              <w:right w:val="none" w:color="FFFFFF" w:sz="0"/>
            </w:tcBorders>
            <w:tcMar>
              <w:top w:type="dxa" w:w="80"/>
              <w:left w:type="dxa" w:w="120"/>
              <w:bottom w:type="dxa" w:w="80"/>
              <w:right w:type="dxa" w:w="80"/>
            </w:tcMar>
          </w:tcPr>
          <w:p>
            <w:r>
              <w:rPr>
                <w:rFonts w:ascii="Arial" w:cs="Arial" w:eastAsia="Arial" w:hAnsi="Arial"/>
                <w:b/>
                <w:bCs/>
                <w:color w:val="1A1A2E"/>
                <w:sz w:val="22"/>
                <w:szCs w:val="22"/>
              </w:rPr>
              <w:t xml:space="preserve">ANNEXE TECHNIQUE — Équations de Performance</w:t>
            </w:r>
          </w:p>
          <w:p>
            <w:r>
              <w:rPr>
                <w:rFonts w:ascii="Arial" w:cs="Arial" w:eastAsia="Arial" w:hAnsi="Arial"/>
                <w:i/>
                <w:iCs/>
                <w:color w:val="888888"/>
                <w:sz w:val="18"/>
                <w:szCs w:val="18"/>
              </w:rPr>
              <w:t xml:space="preserve">MFE/MAE, R-Multiple, Expectancy, Formules LaTeX</w:t>
            </w:r>
          </w:p>
        </w:tc>
        <w:tc>
          <w:tcPr>
            <w:tcBorders>
              <w:top w:val="none" w:color="FFFFFF" w:sz="0"/>
              <w:left w:val="none" w:color="FFFFFF" w:sz="0"/>
              <w:bottom w:val="single" w:color="DDDDDD" w:sz="1"/>
              <w:right w:val="none" w:color="FFFFFF" w:sz="0"/>
            </w:tcBorders>
            <w:tcMar>
              <w:top w:type="dxa" w:w="80"/>
              <w:left w:type="dxa" w:w="80"/>
              <w:bottom w:type="dxa" w:w="80"/>
              <w:right w:type="dxa" w:w="120"/>
            </w:tcMar>
          </w:tcPr>
          <w:p>
            <w:pPr>
              <w:jc w:val="right"/>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c>
          <w:tcPr>
            <w:tcBorders>
              <w:top w:val="none" w:color="FFFFFF" w:sz="0"/>
              <w:left w:val="none" w:color="FFFFFF" w:sz="0"/>
              <w:bottom w:val="none" w:color="FFFFFF" w:sz="0"/>
              <w:right w:val="none" w:color="FFFFFF" w:sz="0"/>
            </w:tcBorders>
            <w:shd w:fill="5B7FFF" w:val="clear"/>
            <w:tcMar>
              <w:top w:type="dxa" w:w="80"/>
              <w:left w:type="dxa" w:w="120"/>
              <w:bottom w:type="dxa" w:w="80"/>
              <w:right w:type="dxa" w:w="80"/>
            </w:tcMar>
          </w:tcPr>
          <w:p>
            <w:r>
              <w:rPr>
                <w:rFonts w:ascii="Arial" w:cs="Arial" w:eastAsia="Arial" w:hAnsi="Arial"/>
                <w:b/>
                <w:bCs/>
                <w:color w:val="FFFFFF"/>
                <w:sz w:val="22"/>
                <w:szCs w:val="22"/>
              </w:rPr>
              <w:t xml:space="preserve">V.</w:t>
            </w:r>
          </w:p>
        </w:tc>
        <w:tc>
          <w:tcPr>
            <w:tcBorders>
              <w:top w:val="none" w:color="FFFFFF" w:sz="0"/>
              <w:left w:val="none" w:color="FFFFFF" w:sz="0"/>
              <w:bottom w:val="single" w:color="DDDDDD" w:sz="1"/>
              <w:right w:val="none" w:color="FFFFFF" w:sz="0"/>
            </w:tcBorders>
            <w:tcMar>
              <w:top w:type="dxa" w:w="80"/>
              <w:left w:type="dxa" w:w="120"/>
              <w:bottom w:type="dxa" w:w="80"/>
              <w:right w:type="dxa" w:w="80"/>
            </w:tcMar>
          </w:tcPr>
          <w:p>
            <w:r>
              <w:rPr>
                <w:rFonts w:ascii="Arial" w:cs="Arial" w:eastAsia="Arial" w:hAnsi="Arial"/>
                <w:b/>
                <w:bCs/>
                <w:color w:val="1A1A2E"/>
                <w:sz w:val="22"/>
                <w:szCs w:val="22"/>
              </w:rPr>
              <w:t xml:space="preserve">SYNTHÈSE DU MOAT</w:t>
            </w:r>
          </w:p>
          <w:p>
            <w:r>
              <w:rPr>
                <w:rFonts w:ascii="Arial" w:cs="Arial" w:eastAsia="Arial" w:hAnsi="Arial"/>
                <w:i/>
                <w:iCs/>
                <w:color w:val="888888"/>
                <w:sz w:val="18"/>
                <w:szCs w:val="18"/>
              </w:rPr>
              <w:t xml:space="preserve">5 Avantages concurrentiels décisifs vs leaders du marché</w:t>
            </w:r>
          </w:p>
        </w:tc>
        <w:tc>
          <w:tcPr>
            <w:tcBorders>
              <w:top w:val="none" w:color="FFFFFF" w:sz="0"/>
              <w:left w:val="none" w:color="FFFFFF" w:sz="0"/>
              <w:bottom w:val="single" w:color="DDDDDD" w:sz="1"/>
              <w:right w:val="none" w:color="FFFFFF" w:sz="0"/>
            </w:tcBorders>
            <w:tcMar>
              <w:top w:type="dxa" w:w="80"/>
              <w:left w:type="dxa" w:w="80"/>
              <w:bottom w:type="dxa" w:w="80"/>
              <w:right w:type="dxa" w:w="120"/>
            </w:tcMar>
          </w:tcPr>
          <w:p>
            <w:pPr>
              <w:jc w:val="right"/>
            </w:pPr>
          </w:p>
        </w:tc>
      </w:tr>
    </w:tbl>
    <w:p>
      <w:r>
        <w:br w:type="page"/>
      </w:r>
    </w:p>
    <w:p>
      <w:pPr>
        <w:spacing w:before="200" w:after="0"/>
      </w:pPr>
      <w:r>
        <w:t xml:space="preserve"/>
      </w:r>
    </w:p>
    <w:p>
      <w:pPr>
        <w:pBdr>
          <w:top w:val="single" w:color="5B7FFF" w:sz="12" w:space="1"/>
        </w:pBdr>
        <w:shd w:fill="1A3A5C" w:val="clear"/>
        <w:spacing w:before="200" w:after="0"/>
        <w:jc w:val="center"/>
      </w:pPr>
      <w:r>
        <w:rPr>
          <w:rFonts w:ascii="Arial" w:cs="Arial" w:eastAsia="Arial" w:hAnsi="Arial"/>
          <w:b/>
          <w:bCs/>
          <w:color w:val="D4A853"/>
          <w:sz w:val="32"/>
          <w:szCs w:val="32"/>
        </w:rPr>
        <w:t xml:space="preserve">PHASE 1</w:t>
      </w:r>
      <w:r>
        <w:rPr>
          <w:rFonts w:ascii="Arial" w:cs="Arial" w:eastAsia="Arial" w:hAnsi="Arial"/>
          <w:color w:val="FFFFFF"/>
          <w:sz w:val="28"/>
          <w:szCs w:val="28"/>
        </w:rPr>
        <w:t xml:space="preserve">  ·  </w:t>
      </w:r>
      <w:r>
        <w:rPr>
          <w:rFonts w:ascii="Arial" w:cs="Arial" w:eastAsia="Arial" w:hAnsi="Arial"/>
          <w:b/>
          <w:bCs/>
          <w:color w:val="FFFFFF"/>
          <w:sz w:val="30"/>
          <w:szCs w:val="30"/>
        </w:rPr>
        <w:t xml:space="preserve">MVP — Standard de Conformité</w:t>
      </w:r>
    </w:p>
    <w:p>
      <w:pPr>
        <w:shd w:fill="1A3A5C" w:val="clear"/>
        <w:spacing w:before="0" w:after="200"/>
        <w:jc w:val="center"/>
      </w:pPr>
      <w:r>
        <w:rPr>
          <w:rFonts w:ascii="Arial" w:cs="Arial" w:eastAsia="Arial" w:hAnsi="Arial"/>
          <w:i/>
          <w:iCs/>
          <w:color w:val="BBBBCC"/>
          <w:sz w:val="22"/>
          <w:szCs w:val="22"/>
        </w:rPr>
        <w:t xml:space="preserve">Objectif : Répondre à 100% des standards attendus par un trader professionnel en 2026</w:t>
      </w:r>
    </w:p>
    <w:p>
      <w:pPr>
        <w:spacing w:before="200" w:after="100"/>
      </w:pPr>
      <w:r>
        <w:rPr>
          <w:rFonts w:ascii="Arial" w:cs="Arial" w:eastAsia="Arial" w:hAnsi="Arial"/>
          <w:b/>
          <w:bCs/>
          <w:color w:val="1A3A5C"/>
          <w:sz w:val="24"/>
          <w:szCs w:val="24"/>
        </w:rPr>
        <w:t xml:space="preserve">CONTEXTE MARCHÉ</w:t>
      </w:r>
    </w:p>
    <w:p>
      <w:pPr>
        <w:spacing w:before="0" w:after="200"/>
      </w:pPr>
      <w:r>
        <w:rPr>
          <w:rFonts w:ascii="Arial" w:cs="Arial" w:eastAsia="Arial" w:hAnsi="Arial"/>
          <w:color w:val="3A3A5C"/>
          <w:sz w:val="20"/>
          <w:szCs w:val="20"/>
        </w:rPr>
        <w:t xml:space="preserve">Le seuil de conformité 2026 est défini par TraderSync (900+ courtiers, 600 statistiques chez TradesViz), Tradervue (200 000 utilisateurs, 80+ courtiers) et TradesViz (50M+ transactions traitées). La Phase 1 doit atteindre ce niveau minimum pour être crédible à l'entrée sur le marché.</w:t>
      </w:r>
    </w:p>
    <w:p>
      <w:pPr>
        <w:shd w:fill="1A3A5C" w:val="clear"/>
        <w:spacing w:before="320" w:after="160"/>
        <w:jc w:val="left"/>
      </w:pPr>
      <w:r>
        <w:rPr>
          <w:rFonts w:ascii="Arial" w:cs="Arial" w:eastAsia="Arial" w:hAnsi="Arial"/>
          <w:b/>
          <w:bCs/>
          <w:color w:val="FFFFFF"/>
          <w:sz w:val="28"/>
          <w:szCs w:val="28"/>
        </w:rPr>
        <w:t xml:space="preserve">  DOMAINE A — INFRASTRUCTURE &amp; SYNCHRONISATION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#01  </w:t>
            </w:r>
            <w:r>
              <w:rPr>
                <w:rFonts w:ascii="Arial" w:cs="Arial" w:eastAsia="Arial" w:hAnsi="Arial"/>
                <w:b/>
                <w:bCs/>
                <w:color w:val="FFFFFF"/>
                <w:sz w:val="26"/>
                <w:szCs w:val="26"/>
              </w:rPr>
              <w:t xml:space="preserve">Auto-Sync Universel</w:t>
            </w:r>
            <w:r>
              <w:rPr>
                <w:rFonts w:ascii="Arial" w:cs="Arial" w:eastAsia="Arial" w:hAnsi="Arial"/>
                <w:color w:val="DDDDFF"/>
                <w:sz w:val="20"/>
                <w:szCs w:val="20"/>
              </w:rPr>
              <w:t xml:space="preserve">  [Infrastructure]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La saisie manuelle de centaines de trades est une source d'erreurs et d'abandon. Les traders actifs effectuant 50+ trades/jour ne peuvent pas journaliser manuellement.</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Connexion API directe à 900+ courtiers (Actions, Options, Futures, Forex, Crypto). Import CSV universel. Synchronisation automatique du P/L avec intégration des commissions et frais pour une précision absolue.</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#02  </w:t>
            </w:r>
            <w:r>
              <w:rPr>
                <w:rFonts w:ascii="Arial" w:cs="Arial" w:eastAsia="Arial" w:hAnsi="Arial"/>
                <w:b/>
                <w:bCs/>
                <w:color w:val="FFFFFF"/>
                <w:sz w:val="26"/>
                <w:szCs w:val="26"/>
              </w:rPr>
              <w:t xml:space="preserve">Visual Calendar Heatmap</w:t>
            </w:r>
            <w:r>
              <w:rPr>
                <w:rFonts w:ascii="Arial" w:cs="Arial" w:eastAsia="Arial" w:hAnsi="Arial"/>
                <w:color w:val="DDDDFF"/>
                <w:sz w:val="20"/>
                <w:szCs w:val="20"/>
              </w:rPr>
              <w:t xml:space="preserve">  [Infrastructure]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 trader ne visualise pas ses cycles de performance sur le temps. Il ignore ses jours statistiquement perdants ou ses meilleures fenêtres temporelles.</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Vue mensuelle style GitHub avec gradient de couleur (vert = profit, rouge = perte, gris = inactif). Identification instantanée des patterns cycliques hebdomadaires et mensuels. Premier point de contact intuitif de l'interface.</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#03  </w:t>
            </w:r>
            <w:r>
              <w:rPr>
                <w:rFonts w:ascii="Arial" w:cs="Arial" w:eastAsia="Arial" w:hAnsi="Arial"/>
                <w:b/>
                <w:bCs/>
                <w:color w:val="FFFFFF"/>
                <w:sz w:val="26"/>
                <w:szCs w:val="26"/>
              </w:rPr>
              <w:t xml:space="preserve">Multi-Account Risk Aggregation</w:t>
            </w:r>
            <w:r>
              <w:rPr>
                <w:rFonts w:ascii="Arial" w:cs="Arial" w:eastAsia="Arial" w:hAnsi="Arial"/>
                <w:color w:val="DDDDFF"/>
                <w:sz w:val="20"/>
                <w:szCs w:val="20"/>
              </w:rPr>
              <w:t xml:space="preserve">  [Infrastructure]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traders opérant sur plusieurs comptes (personnel + 2-3 Prop Firms) ont une vision fragmentée de leur exposition totale au risque réel.</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Dashboard consolidé agrégeant le risque sur N comptes simultanément. Vue unifiée du drawdown global, de la marge utilisée et des règles de Prop Firm en temps réel. Alertes cross-comptes en cas de corrélation de positions.</w:t>
            </w:r>
          </w:p>
        </w:tc>
      </w:tr>
    </w:tbl>
    <w:p>
      <w:pPr>
        <w:spacing w:before="160" w:after="0"/>
      </w:pPr>
      <w:r>
        <w:t xml:space="preserve"/>
      </w:r>
    </w:p>
    <w:p>
      <w:pPr>
        <w:shd w:fill="1A3A5C" w:val="clear"/>
        <w:spacing w:before="320" w:after="160"/>
        <w:jc w:val="left"/>
      </w:pPr>
      <w:r>
        <w:rPr>
          <w:rFonts w:ascii="Arial" w:cs="Arial" w:eastAsia="Arial" w:hAnsi="Arial"/>
          <w:b/>
          <w:bCs/>
          <w:color w:val="FFFFFF"/>
          <w:sz w:val="28"/>
          <w:szCs w:val="28"/>
        </w:rPr>
        <w:t xml:space="preserve">  DOMAINE B — MÉTRIQUES QUANTITATIVES  </w:t>
      </w:r>
    </w:p>
    <w:p>
      <w:pPr>
        <w:spacing w:before="160" w:after="80"/>
      </w:pPr>
      <w:r>
        <w:rPr>
          <w:rFonts w:ascii="Arial" w:cs="Arial" w:eastAsia="Arial" w:hAnsi="Arial"/>
          <w:i/>
          <w:iCs/>
          <w:color w:val="3A3A5C"/>
          <w:sz w:val="20"/>
          <w:szCs w:val="20"/>
        </w:rPr>
        <w:t xml:space="preserve">Standards analytiques imposés par l'industrie (niveau TradesViz 600+ statistiques)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160"/>
        <w:gridCol w:w="3000"/>
      </w:tblGrid>
      <w:tr>
        <w:trPr>
          <w:tblHeader/>
        </w:trPr>
        <w:tc>
          <w:tcPr>
            <w:tcW w:type="dxa" w:w="1800"/>
            <w:tcBorders>
              <w:top w:val="single" w:color="7A9FD4" w:sz="1"/>
              <w:left w:val="single" w:color="7A9FD4" w:sz="1"/>
              <w:bottom w:val="single" w:color="7A9FD4" w:sz="1"/>
              <w:right w:val="single" w:color="7A9FD4"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w:t>
            </w:r>
          </w:p>
        </w:tc>
        <w:tc>
          <w:tcPr>
            <w:tcW w:type="dxa" w:w="1400"/>
            <w:tcBorders>
              <w:top w:val="single" w:color="7A9FD4" w:sz="1"/>
              <w:left w:val="single" w:color="7A9FD4" w:sz="1"/>
              <w:bottom w:val="single" w:color="7A9FD4" w:sz="1"/>
              <w:right w:val="single" w:color="7A9FD4"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3160"/>
            <w:tcBorders>
              <w:top w:val="single" w:color="7A9FD4" w:sz="1"/>
              <w:left w:val="single" w:color="7A9FD4" w:sz="1"/>
              <w:bottom w:val="single" w:color="7A9FD4" w:sz="1"/>
              <w:right w:val="single" w:color="7A9FD4"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 / Définition</w:t>
            </w:r>
          </w:p>
        </w:tc>
        <w:tc>
          <w:tcPr>
            <w:tcW w:type="dxa" w:w="3000"/>
            <w:tcBorders>
              <w:top w:val="single" w:color="7A9FD4" w:sz="1"/>
              <w:left w:val="single" w:color="7A9FD4" w:sz="1"/>
              <w:bottom w:val="single" w:color="7A9FD4" w:sz="1"/>
              <w:right w:val="single" w:color="7A9FD4"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Douleur Résolue</w:t>
            </w:r>
          </w:p>
        </w:tc>
      </w:tr>
      <w:tr>
        <w:tc>
          <w:tcPr>
            <w:tcW w:type="dxa" w:w="1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Exécution</w:t>
            </w:r>
          </w:p>
        </w:tc>
        <w:tc>
          <w:tcPr>
            <w:tcW w:type="dxa" w:w="14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MFE / MAE</w:t>
            </w:r>
          </w:p>
        </w:tc>
        <w:tc>
          <w:tcPr>
            <w:tcW w:type="dxa" w:w="31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Max Favorable / Adverse Excursion depuis l'entrée</w:t>
            </w:r>
          </w:p>
        </w:tc>
        <w:tc>
          <w:tcPr>
            <w:tcW w:type="dxa" w:w="30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Détecte si le trader sort trop tôt ou tient ses pertes trop longtemps</w:t>
            </w:r>
          </w:p>
        </w:tc>
      </w:tr>
      <w:tr>
        <w:tc>
          <w:tcPr>
            <w:tcW w:type="dxa" w:w="18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Risque</w:t>
            </w:r>
          </w:p>
        </w:tc>
        <w:tc>
          <w:tcPr>
            <w:tcW w:type="dxa" w:w="14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R-Multiple</w:t>
            </w:r>
          </w:p>
        </w:tc>
        <w:tc>
          <w:tcPr>
            <w:tcW w:type="dxa" w:w="316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 = (Prix Sortie − Prix Entrée) / (Prix Entrée − Stop Loss)</w:t>
            </w:r>
          </w:p>
        </w:tc>
        <w:tc>
          <w:tcPr>
            <w:tcW w:type="dxa" w:w="30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Standardise la performance indépendamment de la taille de position</w:t>
            </w:r>
          </w:p>
        </w:tc>
      </w:tr>
      <w:tr>
        <w:tc>
          <w:tcPr>
            <w:tcW w:type="dxa" w:w="1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Risque</w:t>
            </w:r>
          </w:p>
        </w:tc>
        <w:tc>
          <w:tcPr>
            <w:tcW w:type="dxa" w:w="14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Kelly Criterion</w:t>
            </w:r>
          </w:p>
        </w:tc>
        <w:tc>
          <w:tcPr>
            <w:tcW w:type="dxa" w:w="31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 = (bp − q) / b  [b = cote, p = win%, q = loss%]</w:t>
            </w:r>
          </w:p>
        </w:tc>
        <w:tc>
          <w:tcPr>
            <w:tcW w:type="dxa" w:w="30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Calcule la taille optimale de position pour maximiser la croissance</w:t>
            </w:r>
          </w:p>
        </w:tc>
      </w:tr>
      <w:tr>
        <w:tc>
          <w:tcPr>
            <w:tcW w:type="dxa" w:w="18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Robustesse</w:t>
            </w:r>
          </w:p>
        </w:tc>
        <w:tc>
          <w:tcPr>
            <w:tcW w:type="dxa" w:w="14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Profit Factor</w:t>
            </w:r>
          </w:p>
        </w:tc>
        <w:tc>
          <w:tcPr>
            <w:tcW w:type="dxa" w:w="316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PF = Σ Gross Profits / Σ Gross Losses</w:t>
            </w:r>
          </w:p>
        </w:tc>
        <w:tc>
          <w:tcPr>
            <w:tcW w:type="dxa" w:w="30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Mesure si la stratégie génère plus qu'elle ne perd en valeur brute</w:t>
            </w:r>
          </w:p>
        </w:tc>
      </w:tr>
      <w:tr>
        <w:tc>
          <w:tcPr>
            <w:tcW w:type="dxa" w:w="1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Robustesse</w:t>
            </w:r>
          </w:p>
        </w:tc>
        <w:tc>
          <w:tcPr>
            <w:tcW w:type="dxa" w:w="14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Expectancy</w:t>
            </w:r>
          </w:p>
        </w:tc>
        <w:tc>
          <w:tcPr>
            <w:tcW w:type="dxa" w:w="31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 = (Win% × Avg Win) − (Loss% × Avg Loss)</w:t>
            </w:r>
          </w:p>
        </w:tc>
        <w:tc>
          <w:tcPr>
            <w:tcW w:type="dxa" w:w="30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Espérance mathématique par trade — cœur de la viabilité de la stratégie</w:t>
            </w:r>
          </w:p>
        </w:tc>
      </w:tr>
      <w:tr>
        <w:tc>
          <w:tcPr>
            <w:tcW w:type="dxa" w:w="18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Croissance</w:t>
            </w:r>
          </w:p>
        </w:tc>
        <w:tc>
          <w:tcPr>
            <w:tcW w:type="dxa" w:w="14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Ratio de Sharpe</w:t>
            </w:r>
          </w:p>
        </w:tc>
        <w:tc>
          <w:tcPr>
            <w:tcW w:type="dxa" w:w="316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S = (Rp − Rf) / σp</w:t>
            </w:r>
          </w:p>
        </w:tc>
        <w:tc>
          <w:tcPr>
            <w:tcW w:type="dxa" w:w="30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Mesure le rendement ajusté au risque par unité de volatilité</w:t>
            </w:r>
          </w:p>
        </w:tc>
      </w:tr>
      <w:tr>
        <w:tc>
          <w:tcPr>
            <w:tcW w:type="dxa" w:w="1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Croissance</w:t>
            </w:r>
          </w:p>
        </w:tc>
        <w:tc>
          <w:tcPr>
            <w:tcW w:type="dxa" w:w="14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Ratio de Sortino</w:t>
            </w:r>
          </w:p>
        </w:tc>
        <w:tc>
          <w:tcPr>
            <w:tcW w:type="dxa" w:w="31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So = (Rp − Rf) / σd  [σd = downside deviation]</w:t>
            </w:r>
          </w:p>
        </w:tc>
        <w:tc>
          <w:tcPr>
            <w:tcW w:type="dxa" w:w="30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Variante Sharpe ne pénalisant que la volatilité négative</w:t>
            </w:r>
          </w:p>
        </w:tc>
      </w:tr>
      <w:tr>
        <w:tc>
          <w:tcPr>
            <w:tcW w:type="dxa" w:w="18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Croissance</w:t>
            </w:r>
          </w:p>
        </w:tc>
        <w:tc>
          <w:tcPr>
            <w:tcW w:type="dxa" w:w="14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Max Drawdown</w:t>
            </w:r>
          </w:p>
        </w:tc>
        <w:tc>
          <w:tcPr>
            <w:tcW w:type="dxa" w:w="316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MDD = (Trough − Peak) / Peak</w:t>
            </w:r>
          </w:p>
        </w:tc>
        <w:tc>
          <w:tcPr>
            <w:tcW w:type="dxa" w:w="30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Pire perte depuis un pic — métrique de résilience psychologique</w:t>
            </w:r>
          </w:p>
        </w:tc>
      </w:tr>
      <w:tr>
        <w:tc>
          <w:tcPr>
            <w:tcW w:type="dxa" w:w="1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Temporel</w:t>
            </w:r>
          </w:p>
        </w:tc>
        <w:tc>
          <w:tcPr>
            <w:tcW w:type="dxa" w:w="14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Performance Horaire</w:t>
            </w:r>
          </w:p>
        </w:tc>
        <w:tc>
          <w:tcPr>
            <w:tcW w:type="dxa" w:w="31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P/L moyen par heure × session</w:t>
            </w:r>
          </w:p>
        </w:tc>
        <w:tc>
          <w:tcPr>
            <w:tcW w:type="dxa" w:w="30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Identifie les créneaux où l'avantage statistique s'érode</w:t>
            </w:r>
          </w:p>
        </w:tc>
      </w:tr>
      <w:tr>
        <w:tc>
          <w:tcPr>
            <w:tcW w:type="dxa" w:w="18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Temporel</w:t>
            </w:r>
          </w:p>
        </w:tc>
        <w:tc>
          <w:tcPr>
            <w:tcW w:type="dxa" w:w="14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Performance par Jour</w:t>
            </w:r>
          </w:p>
        </w:tc>
        <w:tc>
          <w:tcPr>
            <w:tcW w:type="dxa" w:w="316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Win Rate / PnL par jour de la semaine</w:t>
            </w:r>
          </w:p>
        </w:tc>
        <w:tc>
          <w:tcPr>
            <w:tcW w:type="dxa" w:w="3000"/>
            <w:tcBorders>
              <w:top w:val="single" w:color="BBCCDD" w:sz="1"/>
              <w:left w:val="single" w:color="BBCCDD" w:sz="1"/>
              <w:bottom w:val="single" w:color="BBCCDD" w:sz="1"/>
              <w:right w:val="single" w:color="BBCCDD" w:sz="1"/>
            </w:tcBorders>
            <w:shd w:fill="F0F5FF" w:val="clear"/>
            <w:tcMar>
              <w:top w:type="dxa" w:w="60"/>
              <w:left w:type="dxa" w:w="120"/>
              <w:bottom w:type="dxa" w:w="60"/>
              <w:right w:type="dxa" w:w="120"/>
            </w:tcMar>
          </w:tcPr>
          <w:p>
            <w:r>
              <w:rPr>
                <w:rFonts w:ascii="Arial" w:cs="Arial" w:eastAsia="Arial" w:hAnsi="Arial"/>
                <w:color w:val="1A1A2E"/>
                <w:sz w:val="19"/>
                <w:szCs w:val="19"/>
              </w:rPr>
              <w:t xml:space="preserve">Révèle les biais temporels systématiques (ex: lundi = perdant)</w:t>
            </w:r>
          </w:p>
        </w:tc>
      </w:tr>
    </w:tbl>
    <w:p>
      <w:pPr>
        <w:spacing w:before="200" w:after="0"/>
      </w:pPr>
      <w:r>
        <w:t xml:space="preserve"/>
      </w:r>
    </w:p>
    <w:p>
      <w:pPr>
        <w:shd w:fill="1A3A5C" w:val="clear"/>
        <w:spacing w:before="320" w:after="160"/>
        <w:jc w:val="left"/>
      </w:pPr>
      <w:r>
        <w:rPr>
          <w:rFonts w:ascii="Arial" w:cs="Arial" w:eastAsia="Arial" w:hAnsi="Arial"/>
          <w:b/>
          <w:bCs/>
          <w:color w:val="FFFFFF"/>
          <w:sz w:val="28"/>
          <w:szCs w:val="28"/>
        </w:rPr>
        <w:t xml:space="preserve">  DOMAINE C — GESTION DU RISQUE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#04  </w:t>
            </w:r>
            <w:r>
              <w:rPr>
                <w:rFonts w:ascii="Arial" w:cs="Arial" w:eastAsia="Arial" w:hAnsi="Arial"/>
                <w:b/>
                <w:bCs/>
                <w:color w:val="FFFFFF"/>
                <w:sz w:val="26"/>
                <w:szCs w:val="26"/>
              </w:rPr>
              <w:t xml:space="preserve">Position Sizing Dynamique</w:t>
            </w:r>
            <w:r>
              <w:rPr>
                <w:rFonts w:ascii="Arial" w:cs="Arial" w:eastAsia="Arial" w:hAnsi="Arial"/>
                <w:color w:val="DDDDFF"/>
                <w:sz w:val="20"/>
                <w:szCs w:val="20"/>
              </w:rPr>
              <w:t xml:space="preserve">  [Risk Management]</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traders calculent leur taille de lot à la main, souvent en mode réactif sans tenir compte de la volatilité actuelle du marché — résultat : sur-risque fréquent.</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Calculateur intégré suggérant la taille de lot optimale selon : risque % défini, stop loss en points, volatilité ATR actuelle de l'instrument. Alertes si la taille dépasse le seuil de confort historique du trader.</w:t>
            </w:r>
          </w:p>
        </w:tc>
      </w:tr>
    </w:tbl>
    <w:p>
      <w:pPr>
        <w:spacing w:before="160" w:after="0"/>
      </w:pPr>
      <w:r>
        <w:t xml:space="preserve"/>
      </w:r>
    </w:p>
    <w:p>
      <w:pPr>
        <w:shd w:fill="1A3A5C" w:val="clear"/>
        <w:spacing w:before="320" w:after="160"/>
        <w:jc w:val="left"/>
      </w:pPr>
      <w:r>
        <w:rPr>
          <w:rFonts w:ascii="Arial" w:cs="Arial" w:eastAsia="Arial" w:hAnsi="Arial"/>
          <w:b/>
          <w:bCs/>
          <w:color w:val="FFFFFF"/>
          <w:sz w:val="28"/>
          <w:szCs w:val="28"/>
        </w:rPr>
        <w:t xml:space="preserve">  DOMAINE D — REPORTING &amp; EXPORT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#05  </w:t>
            </w:r>
            <w:r>
              <w:rPr>
                <w:rFonts w:ascii="Arial" w:cs="Arial" w:eastAsia="Arial" w:hAnsi="Arial"/>
                <w:b/>
                <w:bCs/>
                <w:color w:val="FFFFFF"/>
                <w:sz w:val="26"/>
                <w:szCs w:val="26"/>
              </w:rPr>
              <w:t xml:space="preserve">Reporting Multi-Format</w:t>
            </w:r>
            <w:r>
              <w:rPr>
                <w:rFonts w:ascii="Arial" w:cs="Arial" w:eastAsia="Arial" w:hAnsi="Arial"/>
                <w:color w:val="DDDDFF"/>
                <w:sz w:val="20"/>
                <w:szCs w:val="20"/>
              </w:rPr>
              <w:t xml:space="preserve">  [Reporting]</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brokers, coaches et prop firms demandent des rapports de performance dans des formats variés. La génération manuelle est fastidieuse et source d'erreurs.</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Génération automatique de rapports PDF, CSV, Excel avec métriques complètes. Rapports personnalisables par période, stratégie, instrument. Partage sécurisé par lien unique (prop firm sharing). Tableaux de bord comparatifs entre périodes.</w:t>
            </w:r>
          </w:p>
        </w:tc>
      </w:tr>
    </w:tbl>
    <w:p>
      <w:pPr>
        <w:spacing w:before="160" w:after="0"/>
      </w:pPr>
      <w:r>
        <w:t xml:space="preserve"/>
      </w:r>
    </w:p>
    <w:p>
      <w:r>
        <w:br w:type="page"/>
      </w:r>
    </w:p>
    <w:p>
      <w:pPr>
        <w:spacing w:before="200" w:after="0"/>
      </w:pPr>
      <w:r>
        <w:t xml:space="preserve"/>
      </w:r>
    </w:p>
    <w:p>
      <w:pPr>
        <w:pBdr>
          <w:top w:val="single" w:color="5B7FFF" w:sz="12" w:space="1"/>
        </w:pBdr>
        <w:shd w:fill="1A4A2E" w:val="clear"/>
        <w:spacing w:before="200" w:after="0"/>
        <w:jc w:val="center"/>
      </w:pPr>
      <w:r>
        <w:rPr>
          <w:rFonts w:ascii="Arial" w:cs="Arial" w:eastAsia="Arial" w:hAnsi="Arial"/>
          <w:b/>
          <w:bCs/>
          <w:color w:val="D4A853"/>
          <w:sz w:val="32"/>
          <w:szCs w:val="32"/>
        </w:rPr>
        <w:t xml:space="preserve">PHASE 2</w:t>
      </w:r>
      <w:r>
        <w:rPr>
          <w:rFonts w:ascii="Arial" w:cs="Arial" w:eastAsia="Arial" w:hAnsi="Arial"/>
          <w:color w:val="FFFFFF"/>
          <w:sz w:val="28"/>
          <w:szCs w:val="28"/>
        </w:rPr>
        <w:t xml:space="preserve">  ·  </w:t>
      </w:r>
      <w:r>
        <w:rPr>
          <w:rFonts w:ascii="Arial" w:cs="Arial" w:eastAsia="Arial" w:hAnsi="Arial"/>
          <w:b/>
          <w:bCs/>
          <w:color w:val="FFFFFF"/>
          <w:sz w:val="30"/>
          <w:szCs w:val="30"/>
        </w:rPr>
        <w:t xml:space="preserve">Maturité — Psychologie &amp; Discipline Active</w:t>
      </w:r>
    </w:p>
    <w:p>
      <w:pPr>
        <w:shd w:fill="1A4A2E" w:val="clear"/>
        <w:spacing w:before="0" w:after="200"/>
        <w:jc w:val="center"/>
      </w:pPr>
      <w:r>
        <w:rPr>
          <w:rFonts w:ascii="Arial" w:cs="Arial" w:eastAsia="Arial" w:hAnsi="Arial"/>
          <w:i/>
          <w:iCs/>
          <w:color w:val="BBBBCC"/>
          <w:sz w:val="22"/>
          <w:szCs w:val="22"/>
        </w:rPr>
        <w:t xml:space="preserve">Objectif : Transformer AETHERIS en coach disciplinaire actif — prévenir les erreurs avant qu'elles coûtent de l'argent</w:t>
      </w:r>
    </w:p>
    <w:p>
      <w:pPr>
        <w:spacing w:before="200" w:after="100"/>
      </w:pPr>
      <w:r>
        <w:rPr>
          <w:rFonts w:ascii="Arial" w:cs="Arial" w:eastAsia="Arial" w:hAnsi="Arial"/>
          <w:b/>
          <w:bCs/>
          <w:color w:val="1A4A2E"/>
          <w:sz w:val="24"/>
          <w:szCs w:val="24"/>
        </w:rPr>
        <w:t xml:space="preserve">CONTEXTE PSYCHOLOGIQUE</w:t>
      </w:r>
    </w:p>
    <w:p>
      <w:pPr>
        <w:spacing w:before="0" w:after="200"/>
      </w:pPr>
      <w:r>
        <w:rPr>
          <w:rFonts w:ascii="Arial" w:cs="Arial" w:eastAsia="Arial" w:hAnsi="Arial"/>
          <w:color w:val="3A3A5C"/>
          <w:sz w:val="20"/>
          <w:szCs w:val="20"/>
        </w:rPr>
        <w:t xml:space="preserve">Les forums Reddit et Discord révèlent une douleur universelle : les traders savent ce qu'ils font de mal mais ne peuvent pas s'en empêcher dans l'instant. Edgewonk a identifié ce gap avec son Tiltmeter. Plancana a introduit des guardrails. AETHERIS doit aller plus loin : de la détection passive à l'intervention active en temps réel.</w:t>
      </w:r>
    </w:p>
    <w:p>
      <w:pPr>
        <w:shd w:fill="1A4A2E" w:val="clear"/>
        <w:spacing w:before="320" w:after="160"/>
        <w:jc w:val="left"/>
      </w:pPr>
      <w:r>
        <w:rPr>
          <w:rFonts w:ascii="Arial" w:cs="Arial" w:eastAsia="Arial" w:hAnsi="Arial"/>
          <w:b/>
          <w:bCs/>
          <w:color w:val="FFFFFF"/>
          <w:sz w:val="28"/>
          <w:szCs w:val="28"/>
        </w:rPr>
        <w:t xml:space="preserve">  DOMAINE E — INTELLIGENCE ÉMOTIONNELLE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#06  </w:t>
            </w:r>
            <w:r>
              <w:rPr>
                <w:rFonts w:ascii="Arial" w:cs="Arial" w:eastAsia="Arial" w:hAnsi="Arial"/>
                <w:b/>
                <w:bCs/>
                <w:color w:val="FFFFFF"/>
                <w:sz w:val="26"/>
                <w:szCs w:val="26"/>
              </w:rPr>
              <w:t xml:space="preserve">Aether Flow — Journal Émotionnel IA</w:t>
            </w:r>
            <w:r>
              <w:rPr>
                <w:rFonts w:ascii="Arial" w:cs="Arial" w:eastAsia="Arial" w:hAnsi="Arial"/>
                <w:color w:val="DDDDFF"/>
                <w:sz w:val="20"/>
                <w:szCs w:val="20"/>
              </w:rPr>
              <w:t xml:space="preserve">  [Psychologie]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traders ignorent le coût financier réel de leurs biais émotionnels. Savoir qu'on trade par FOMO ne suffit pas — il faut quantifier la perte associée pour créer un choc cognitif réel.</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Tracking des biais comportementaux par trade (FOMO, Revenge Trading, Overconfidence, Loss Aversion, Anchoring). Calcul automatique du coût financier cumulé de chaque biais sur la période. Graphique d'évolution : « Le FOMO vous a coûté 2 340€ ce mois ». Corrélation biais → drawdown pour prouver l'impact systémique.</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#07  </w:t>
            </w:r>
            <w:r>
              <w:rPr>
                <w:rFonts w:ascii="Arial" w:cs="Arial" w:eastAsia="Arial" w:hAnsi="Arial"/>
                <w:b/>
                <w:bCs/>
                <w:color w:val="FFFFFF"/>
                <w:sz w:val="26"/>
                <w:szCs w:val="26"/>
              </w:rPr>
              <w:t xml:space="preserve">Speech-to-Text Psychology — Analyse de Stress Vocale</w:t>
            </w:r>
            <w:r>
              <w:rPr>
                <w:rFonts w:ascii="Arial" w:cs="Arial" w:eastAsia="Arial" w:hAnsi="Arial"/>
                <w:b/>
                <w:bCs/>
                <w:color w:val="D4A853"/>
                <w:sz w:val="22"/>
                <w:szCs w:val="22"/>
              </w:rPr>
              <w:t xml:space="preserve">  ★ USP</w:t>
            </w:r>
            <w:r>
              <w:rPr>
                <w:rFonts w:ascii="Arial" w:cs="Arial" w:eastAsia="Arial" w:hAnsi="Arial"/>
                <w:color w:val="DDDDFF"/>
                <w:sz w:val="20"/>
                <w:szCs w:val="20"/>
              </w:rPr>
              <w:t xml:space="preserve">  [Psychologie]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Pendant une session intense, taper des notes psychologiques est impossible. Le trader ne capture pas son état émotionnel réel dans l'instant — il le reconstruit a posteriori et biaise son analyse.</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Journalisation vocale par microphone pendant la session. IA d'analyse prosodique détectant les micro-variations de pitch, débit et intensité vocale — indicateurs scientifiques du stress. Score émotionnel en temps réel (0-100) corrélé aux performances. Détection de l'excitation excessive (overconfidence) et de l'anxiété (paralysie décisionnelle).</w:t>
            </w:r>
          </w:p>
        </w:tc>
      </w:tr>
    </w:tbl>
    <w:p>
      <w:pPr>
        <w:spacing w:before="160" w:after="0"/>
      </w:pPr>
      <w:r>
        <w:t xml:space="preserve"/>
      </w:r>
    </w:p>
    <w:p>
      <w:pPr>
        <w:shd w:fill="1A4A2E" w:val="clear"/>
        <w:spacing w:before="320" w:after="160"/>
        <w:jc w:val="left"/>
      </w:pPr>
      <w:r>
        <w:rPr>
          <w:rFonts w:ascii="Arial" w:cs="Arial" w:eastAsia="Arial" w:hAnsi="Arial"/>
          <w:b/>
          <w:bCs/>
          <w:color w:val="FFFFFF"/>
          <w:sz w:val="28"/>
          <w:szCs w:val="28"/>
        </w:rPr>
        <w:t xml:space="preserve">  DOMAINE F — PRÉVENTION &amp; PROTECTION ACTIVE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#08  </w:t>
            </w:r>
            <w:r>
              <w:rPr>
                <w:rFonts w:ascii="Arial" w:cs="Arial" w:eastAsia="Arial" w:hAnsi="Arial"/>
                <w:b/>
                <w:bCs/>
                <w:color w:val="FFFFFF"/>
                <w:sz w:val="26"/>
                <w:szCs w:val="26"/>
              </w:rPr>
              <w:t xml:space="preserve">Aether Armor — Système de Prévention de Ruine</w:t>
            </w:r>
            <w:r>
              <w:rPr>
                <w:rFonts w:ascii="Arial" w:cs="Arial" w:eastAsia="Arial" w:hAnsi="Arial"/>
                <w:b/>
                <w:bCs/>
                <w:color w:val="D4A853"/>
                <w:sz w:val="22"/>
                <w:szCs w:val="22"/>
              </w:rPr>
              <w:t xml:space="preserve">  ★ USP</w:t>
            </w:r>
            <w:r>
              <w:rPr>
                <w:rFonts w:ascii="Arial" w:cs="Arial" w:eastAsia="Arial" w:hAnsi="Arial"/>
                <w:color w:val="DDDDFF"/>
                <w:sz w:val="20"/>
                <w:szCs w:val="20"/>
              </w:rPr>
              <w:t xml:space="preserve">  [Protection]</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traders commettent leurs pires erreurs après une série de pertes — le tilt émotionnel détruit en 30 minutes ce qui a été construit en semaines. Les journaux traditionnels enregistrent l'erreur après qu'elle est commise, pas avant.</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Système de Soft Breach en temps réel : alerte progressive à 50%, 75%, 90% du Max Daily Loss. Intégration Webhook pour notifier la plateforme de trading. Mode 'verrouillage suggéré' : pop-up de refroidissement obligatoire avant nouveau trade. Détection proactive : si les 3 derniers trades sont perdants avec temps d'exécution &lt; 5 min → alerte Revenge Trading. Personnalisable par règles de Prop Firm.</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#09  </w:t>
            </w:r>
            <w:r>
              <w:rPr>
                <w:rFonts w:ascii="Arial" w:cs="Arial" w:eastAsia="Arial" w:hAnsi="Arial"/>
                <w:b/>
                <w:bCs/>
                <w:color w:val="FFFFFF"/>
                <w:sz w:val="26"/>
                <w:szCs w:val="26"/>
              </w:rPr>
              <w:t xml:space="preserve">Soft Breach Guardrails — Règles de Plan de Trading</w:t>
            </w:r>
            <w:r>
              <w:rPr>
                <w:rFonts w:ascii="Arial" w:cs="Arial" w:eastAsia="Arial" w:hAnsi="Arial"/>
                <w:color w:val="DDDDFF"/>
                <w:sz w:val="20"/>
                <w:szCs w:val="20"/>
              </w:rPr>
              <w:t xml:space="preserve">  [Protection]</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règles du plan de trading sont définies hors session puis ignorées sous pression émotionnelle. Il n'existe pas de mécanisme de rappel actif dans l'instant de la décision.</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Définition de règles de trading personnalisées (ex: 'Pas de trade &gt; 14h', 'Stop max 2% du capital'). Alertes en temps réel si une règle est sur le point d'être violée avant exécution. Notifications push/email/SMS configurables. Score de conformité quotidien visible en dashboard. Historique des violations pour analyse comportementale.</w:t>
            </w:r>
          </w:p>
        </w:tc>
      </w:tr>
    </w:tbl>
    <w:p>
      <w:pPr>
        <w:spacing w:before="160" w:after="0"/>
      </w:pPr>
      <w:r>
        <w:t xml:space="preserve"/>
      </w:r>
    </w:p>
    <w:p>
      <w:pPr>
        <w:shd w:fill="1A4A2E" w:val="clear"/>
        <w:spacing w:before="320" w:after="160"/>
        <w:jc w:val="left"/>
      </w:pPr>
      <w:r>
        <w:rPr>
          <w:rFonts w:ascii="Arial" w:cs="Arial" w:eastAsia="Arial" w:hAnsi="Arial"/>
          <w:b/>
          <w:bCs/>
          <w:color w:val="FFFFFF"/>
          <w:sz w:val="28"/>
          <w:szCs w:val="28"/>
        </w:rPr>
        <w:t xml:space="preserve">  DOMAINE G — GAMIFICATION &amp; DISCIPLINE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#10  </w:t>
            </w:r>
            <w:r>
              <w:rPr>
                <w:rFonts w:ascii="Arial" w:cs="Arial" w:eastAsia="Arial" w:hAnsi="Arial"/>
                <w:b/>
                <w:bCs/>
                <w:color w:val="FFFFFF"/>
                <w:sz w:val="26"/>
                <w:szCs w:val="26"/>
              </w:rPr>
              <w:t xml:space="preserve">Aether Score — Système de Discipline Gamifié</w:t>
            </w:r>
            <w:r>
              <w:rPr>
                <w:rFonts w:ascii="Arial" w:cs="Arial" w:eastAsia="Arial" w:hAnsi="Arial"/>
                <w:color w:val="DDDDFF"/>
                <w:sz w:val="20"/>
                <w:szCs w:val="20"/>
              </w:rPr>
              <w:t xml:space="preserve">  [Gamification]</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La discipline trading est un muscle difficile à développer sans feedback positif. Les traders abandonnent leur journal car il ne récompense pas les bons comportements, seulement les P/L.</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Score de discipline composite mesurant : respect des stops, exécution planifiée vs impulsive, taille de position conforme, temps de session respecté. Système de badges et niveaux (Apprentice → Master → Aetheris Elite). Streaks de discipline (ex: '14 jours sans violation de plan'). Leaderboard optionnel entre utilisateurs (mode anonyme). Corrélation prouvée : Discipline Score ↑ → Profitabilité ↑.</w:t>
            </w:r>
          </w:p>
        </w:tc>
      </w:tr>
    </w:tbl>
    <w:p>
      <w:pPr>
        <w:spacing w:before="160" w:after="0"/>
      </w:pPr>
      <w:r>
        <w:t xml:space="preserve"/>
      </w:r>
    </w:p>
    <w:p>
      <w:r>
        <w:br w:type="page"/>
      </w:r>
    </w:p>
    <w:p>
      <w:pPr>
        <w:spacing w:before="200" w:after="0"/>
      </w:pPr>
      <w:r>
        <w:t xml:space="preserve"/>
      </w:r>
    </w:p>
    <w:p>
      <w:pPr>
        <w:pBdr>
          <w:top w:val="single" w:color="5B7FFF" w:sz="12" w:space="1"/>
        </w:pBdr>
        <w:shd w:fill="3A1A5C" w:val="clear"/>
        <w:spacing w:before="200" w:after="0"/>
        <w:jc w:val="center"/>
      </w:pPr>
      <w:r>
        <w:rPr>
          <w:rFonts w:ascii="Arial" w:cs="Arial" w:eastAsia="Arial" w:hAnsi="Arial"/>
          <w:b/>
          <w:bCs/>
          <w:color w:val="D4A853"/>
          <w:sz w:val="32"/>
          <w:szCs w:val="32"/>
        </w:rPr>
        <w:t xml:space="preserve">PHASE 3</w:t>
      </w:r>
      <w:r>
        <w:rPr>
          <w:rFonts w:ascii="Arial" w:cs="Arial" w:eastAsia="Arial" w:hAnsi="Arial"/>
          <w:color w:val="FFFFFF"/>
          <w:sz w:val="28"/>
          <w:szCs w:val="28"/>
        </w:rPr>
        <w:t xml:space="preserve">  ·  </w:t>
      </w:r>
      <w:r>
        <w:rPr>
          <w:rFonts w:ascii="Arial" w:cs="Arial" w:eastAsia="Arial" w:hAnsi="Arial"/>
          <w:b/>
          <w:bCs/>
          <w:color w:val="FFFFFF"/>
          <w:sz w:val="30"/>
          <w:szCs w:val="30"/>
        </w:rPr>
        <w:t xml:space="preserve">Apogée — IA, Flux Institutionnels &amp; 3D</w:t>
      </w:r>
    </w:p>
    <w:p>
      <w:pPr>
        <w:shd w:fill="3A1A5C" w:val="clear"/>
        <w:spacing w:before="0" w:after="200"/>
        <w:jc w:val="center"/>
      </w:pPr>
      <w:r>
        <w:rPr>
          <w:rFonts w:ascii="Arial" w:cs="Arial" w:eastAsia="Arial" w:hAnsi="Arial"/>
          <w:i/>
          <w:iCs/>
          <w:color w:val="BBBBCC"/>
          <w:sz w:val="22"/>
          <w:szCs w:val="22"/>
        </w:rPr>
        <w:t xml:space="preserve">Objectif : Positionner AETHERIS comme leader technologique mondial — exploiter les angles morts que la concurrence n'a pas encore</w:t>
      </w:r>
    </w:p>
    <w:p>
      <w:pPr>
        <w:spacing w:before="200" w:after="100"/>
      </w:pPr>
      <w:r>
        <w:rPr>
          <w:rFonts w:ascii="Arial" w:cs="Arial" w:eastAsia="Arial" w:hAnsi="Arial"/>
          <w:b/>
          <w:bCs/>
          <w:color w:val="8A4FD4"/>
          <w:sz w:val="24"/>
          <w:szCs w:val="24"/>
        </w:rPr>
        <w:t xml:space="preserve">POSITIONNEMENT INNOVATION DE RUPTURE</w:t>
      </w:r>
    </w:p>
    <w:p>
      <w:pPr>
        <w:spacing w:before="0" w:after="200"/>
      </w:pPr>
      <w:r>
        <w:rPr>
          <w:rFonts w:ascii="Arial" w:cs="Arial" w:eastAsia="Arial" w:hAnsi="Arial"/>
          <w:color w:val="3A3A5C"/>
          <w:sz w:val="20"/>
          <w:szCs w:val="20"/>
        </w:rPr>
        <w:t xml:space="preserve">La Phase 3 exploite le 'nouveau terrain' — les fonctionnalités que TraderSync, Edgewonk et Tradervue n'ont pas encore intégrées. L'intégration de données institutionnelles (flux Whales, Shadow Flow, COT Reports) et la visualisation 3D constituent le fossé technologique qui rendra AETHERIS irremplaçable pour les traders avancés.</w:t>
      </w:r>
    </w:p>
    <w:p>
      <w:pPr>
        <w:shd w:fill="3A1A5C" w:val="clear"/>
        <w:spacing w:before="320" w:after="160"/>
        <w:jc w:val="left"/>
      </w:pPr>
      <w:r>
        <w:rPr>
          <w:rFonts w:ascii="Arial" w:cs="Arial" w:eastAsia="Arial" w:hAnsi="Arial"/>
          <w:b/>
          <w:bCs/>
          <w:color w:val="FFFFFF"/>
          <w:sz w:val="28"/>
          <w:szCs w:val="28"/>
        </w:rPr>
        <w:t xml:space="preserve">  DOMAINE H — INTELLIGENCE INSTITUTIONNELLE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#11  </w:t>
            </w:r>
            <w:r>
              <w:rPr>
                <w:rFonts w:ascii="Arial" w:cs="Arial" w:eastAsia="Arial" w:hAnsi="Arial"/>
                <w:b/>
                <w:bCs/>
                <w:color w:val="FFFFFF"/>
                <w:sz w:val="26"/>
                <w:szCs w:val="26"/>
              </w:rPr>
              <w:t xml:space="preserve">Oracle Consensus Pre-Trade</w:t>
            </w:r>
            <w:r>
              <w:rPr>
                <w:rFonts w:ascii="Arial" w:cs="Arial" w:eastAsia="Arial" w:hAnsi="Arial"/>
                <w:b/>
                <w:bCs/>
                <w:color w:val="D4A853"/>
                <w:sz w:val="22"/>
                <w:szCs w:val="22"/>
              </w:rPr>
              <w:t xml:space="preserve">  ★ USP</w:t>
            </w:r>
            <w:r>
              <w:rPr>
                <w:rFonts w:ascii="Arial" w:cs="Arial" w:eastAsia="Arial" w:hAnsi="Arial"/>
                <w:color w:val="DDDDFF"/>
                <w:sz w:val="20"/>
                <w:szCs w:val="20"/>
              </w:rPr>
              <w:t xml:space="preserve">  [IA Prédictive]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 trader retail prend ses décisions avec une fraction de l'information disponible. Il ignore le sentiment institutionnel, les positions COT et les mouvements on-chain au moment d'entrer en position.</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Score de probabilité pré-trade calculé par IA agrégeant : sentiment social (Twitter/Reddit/Discord), données COT (Commitment of Traders), Whale Alerts on-chain, flux d'options (options flow). Score de 0-100 indiquant la convergence ou divergence entre la thèse du trader et les signaux institutionnels. N'invalide pas la décision — contextualise et éduque.</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#12  </w:t>
            </w:r>
            <w:r>
              <w:rPr>
                <w:rFonts w:ascii="Arial" w:cs="Arial" w:eastAsia="Arial" w:hAnsi="Arial"/>
                <w:b/>
                <w:bCs/>
                <w:color w:val="FFFFFF"/>
                <w:sz w:val="26"/>
                <w:szCs w:val="26"/>
              </w:rPr>
              <w:t xml:space="preserve">Whale Impact Tracker — Corrélation Institutionnelle</w:t>
            </w:r>
            <w:r>
              <w:rPr>
                <w:rFonts w:ascii="Arial" w:cs="Arial" w:eastAsia="Arial" w:hAnsi="Arial"/>
                <w:b/>
                <w:bCs/>
                <w:color w:val="D4A853"/>
                <w:sz w:val="22"/>
                <w:szCs w:val="22"/>
              </w:rPr>
              <w:t xml:space="preserve">  ★ USP</w:t>
            </w:r>
            <w:r>
              <w:rPr>
                <w:rFonts w:ascii="Arial" w:cs="Arial" w:eastAsia="Arial" w:hAnsi="Arial"/>
                <w:color w:val="DDDDFF"/>
                <w:sz w:val="20"/>
                <w:szCs w:val="20"/>
              </w:rPr>
              <w:t xml:space="preserve">  [Intelligence Institutionnelle]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stops qui sautent 'sans raison' frustrent les traders. Ils ignorent que leur liquidation coïncide avec un transfert massif de BTC vers un exchange ou un rééquilibrage institutionnel.</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Intégration temps réel des API Whale Alert et on-chain analytics. Corrélation automatique entre chaque perte/stop et les mouvements institutionnels survenus dans la fenêtre de ±15 minutes. Message contextuel : 'Ta position a été liquidée lors d'un transfert de 40 000 BTC vers Binance'. Transforme la frustration en compréhension — un avantage éducatif majeur.</w:t>
            </w:r>
          </w:p>
        </w:tc>
      </w:tr>
    </w:tbl>
    <w:p>
      <w:pPr>
        <w:spacing w:before="160" w:after="0"/>
      </w:pPr>
      <w:r>
        <w:t xml:space="preserve"/>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#13  </w:t>
            </w:r>
            <w:r>
              <w:rPr>
                <w:rFonts w:ascii="Arial" w:cs="Arial" w:eastAsia="Arial" w:hAnsi="Arial"/>
                <w:b/>
                <w:bCs/>
                <w:color w:val="FFFFFF"/>
                <w:sz w:val="26"/>
                <w:szCs w:val="26"/>
              </w:rPr>
              <w:t xml:space="preserve">Shadow Index Profile — Flux Passifs Institutionnels</w:t>
            </w:r>
            <w:r>
              <w:rPr>
                <w:rFonts w:ascii="Arial" w:cs="Arial" w:eastAsia="Arial" w:hAnsi="Arial"/>
                <w:b/>
                <w:bCs/>
                <w:color w:val="D4A853"/>
                <w:sz w:val="22"/>
                <w:szCs w:val="22"/>
              </w:rPr>
              <w:t xml:space="preserve">  ★ USP</w:t>
            </w:r>
            <w:r>
              <w:rPr>
                <w:rFonts w:ascii="Arial" w:cs="Arial" w:eastAsia="Arial" w:hAnsi="Arial"/>
                <w:color w:val="DDDDFF"/>
                <w:sz w:val="20"/>
                <w:szCs w:val="20"/>
              </w:rPr>
              <w:t xml:space="preserve">  [Intelligence Institutionnelle]</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traders ignorent l'impact des rééquilibrages d'ETFs et d'indices sur la liquidité apparente. Ce flux passif crée des mouvements 'artificiels' qui détruisent les positions techniques.</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Analyse des flux passifs liés aux ETFs et rééquilibrages d'indices (reconstitution S&amp;P 500, Russell 2000, etc.). Identification des dates de rééquilibrage à venir et de leur impact probable sur la liquidité. Alertes sur les positions ouvertes potentiellement exposées à un flux passif imminent. Avantage stratégique réservé aux institutionnels — démocratisé pour le retail.</w:t>
            </w:r>
          </w:p>
        </w:tc>
      </w:tr>
    </w:tbl>
    <w:p>
      <w:pPr>
        <w:spacing w:before="160" w:after="0"/>
      </w:pPr>
      <w:r>
        <w:t xml:space="preserve"/>
      </w:r>
    </w:p>
    <w:p>
      <w:pPr>
        <w:shd w:fill="3A1A5C" w:val="clear"/>
        <w:spacing w:before="320" w:after="160"/>
        <w:jc w:val="left"/>
      </w:pPr>
      <w:r>
        <w:rPr>
          <w:rFonts w:ascii="Arial" w:cs="Arial" w:eastAsia="Arial" w:hAnsi="Arial"/>
          <w:b/>
          <w:bCs/>
          <w:color w:val="FFFFFF"/>
          <w:sz w:val="28"/>
          <w:szCs w:val="28"/>
        </w:rPr>
        <w:t xml:space="preserve">  DOMAINE I — VISUALISATION AVANCÉE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#14  </w:t>
            </w:r>
            <w:r>
              <w:rPr>
                <w:rFonts w:ascii="Arial" w:cs="Arial" w:eastAsia="Arial" w:hAnsi="Arial"/>
                <w:b/>
                <w:bCs/>
                <w:color w:val="FFFFFF"/>
                <w:sz w:val="26"/>
                <w:szCs w:val="26"/>
              </w:rPr>
              <w:t xml:space="preserve">Galaxie 3D — Cartographie Constellations de Performance</w:t>
            </w:r>
            <w:r>
              <w:rPr>
                <w:rFonts w:ascii="Arial" w:cs="Arial" w:eastAsia="Arial" w:hAnsi="Arial"/>
                <w:color w:val="DDDDFF"/>
                <w:sz w:val="20"/>
                <w:szCs w:val="20"/>
              </w:rPr>
              <w:t xml:space="preserve">  [Visualisation]</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Les analyses 2D (courbe de capitaux, histogrammes) occultent des patterns multidimensionnels. La relation entre heure, instrument, durée et P/L est invisible dans les graphiques classiques.</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Cartographie 3D interactive de tous les trades selon 3 axes configurables (ex: X = heure, Y = P/L, Z = durée). Identification visuelle de 'clusters de succès' (zones où tous les paramètres convergent positivement). Navigation 3D WebGL avec rotation, zoom, filtres dynamiques. Inspiré de MyTradeVision mais avec une profondeur analytique supérieure.</w:t>
            </w:r>
          </w:p>
        </w:tc>
      </w:tr>
    </w:tbl>
    <w:p>
      <w:pPr>
        <w:spacing w:before="160" w:after="0"/>
      </w:pPr>
      <w:r>
        <w:t xml:space="preserve"/>
      </w:r>
    </w:p>
    <w:p>
      <w:pPr>
        <w:shd w:fill="3A1A5C" w:val="clear"/>
        <w:spacing w:before="320" w:after="160"/>
        <w:jc w:val="left"/>
      </w:pPr>
      <w:r>
        <w:rPr>
          <w:rFonts w:ascii="Arial" w:cs="Arial" w:eastAsia="Arial" w:hAnsi="Arial"/>
          <w:b/>
          <w:bCs/>
          <w:color w:val="FFFFFF"/>
          <w:sz w:val="28"/>
          <w:szCs w:val="28"/>
        </w:rPr>
        <w:t xml:space="preserve">  DOMAINE J — FISCALITÉ &amp; COMPLIANCE  </w:t>
      </w:r>
    </w:p>
    <w:tbl>
      <w:tblPr>
        <w:tblW w:type="dxa" w:w="9360"/>
        <w:tblBorders>
          <w:top w:val="single" w:color="AAAACC" w:sz="1"/>
          <w:left w:val="single" w:color="AAAACC" w:sz="1"/>
          <w:bottom w:val="single" w:color="AAAACC" w:sz="1"/>
          <w:right w:val="single" w:color="AAAACC" w:sz="1"/>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5B7FFF" w:val="clear"/>
            <w:tcMar>
              <w:top w:type="dxa" w:w="100"/>
              <w:left w:type="dxa" w:w="160"/>
              <w:bottom w:type="dxa" w:w="100"/>
              <w:right w:type="dxa" w:w="160"/>
            </w:tcMar>
          </w:tcPr>
          <w:p>
            <w:r>
              <w:rPr>
                <w:rFonts w:ascii="Arial" w:cs="Arial" w:eastAsia="Arial" w:hAnsi="Arial"/>
                <w:b/>
                <w:bCs/>
                <w:color w:val="FFFFFF"/>
                <w:sz w:val="24"/>
                <w:szCs w:val="24"/>
              </w:rPr>
              <w:t xml:space="preserve">#15  </w:t>
            </w:r>
            <w:r>
              <w:rPr>
                <w:rFonts w:ascii="Arial" w:cs="Arial" w:eastAsia="Arial" w:hAnsi="Arial"/>
                <w:b/>
                <w:bCs/>
                <w:color w:val="FFFFFF"/>
                <w:sz w:val="26"/>
                <w:szCs w:val="26"/>
              </w:rPr>
              <w:t xml:space="preserve">Moteur Fiscal Active Trader</w:t>
            </w:r>
            <w:r>
              <w:rPr>
                <w:rFonts w:ascii="Arial" w:cs="Arial" w:eastAsia="Arial" w:hAnsi="Arial"/>
                <w:color w:val="DDDDFF"/>
                <w:sz w:val="20"/>
                <w:szCs w:val="20"/>
              </w:rPr>
              <w:t xml:space="preserve">  [Fiscalité]</w:t>
            </w:r>
          </w:p>
        </w:tc>
      </w:tr>
      <w:tr>
        <w:tc>
          <w:tcPr>
            <w:tcW w:type="dxa" w:w="1200"/>
            <w:tcBorders>
              <w:top w:val="none" w:color="FFFFFF" w:sz="0"/>
              <w:left w:val="none" w:color="FFFFFF" w:sz="0"/>
              <w:bottom w:val="none" w:color="FFFFFF" w:sz="0"/>
              <w:right w:val="none" w:color="FFFFFF" w:sz="0"/>
            </w:tcBorders>
            <w:shd w:fill="FFF8E1" w:val="clear"/>
            <w:tcMar>
              <w:top w:type="dxa" w:w="80"/>
              <w:left w:type="dxa" w:w="160"/>
              <w:bottom w:type="dxa" w:w="80"/>
              <w:right w:type="dxa" w:w="80"/>
            </w:tcMar>
          </w:tcPr>
          <w:p>
            <w:r>
              <w:rPr>
                <w:rFonts w:ascii="Arial" w:cs="Arial" w:eastAsia="Arial" w:hAnsi="Arial"/>
                <w:b/>
                <w:bCs/>
                <w:color w:val="CC3300"/>
                <w:sz w:val="18"/>
                <w:szCs w:val="18"/>
              </w:rPr>
              <w:t xml:space="preserve">🔴 DOULEUR</w:t>
            </w:r>
          </w:p>
        </w:tc>
        <w:tc>
          <w:tcPr>
            <w:tcBorders>
              <w:top w:val="none" w:color="FFFFFF" w:sz="0"/>
              <w:left w:val="none" w:color="FFFFFF" w:sz="0"/>
              <w:bottom w:val="none" w:color="FFFFFF" w:sz="0"/>
              <w:right w:val="none" w:color="FFFFFF" w:sz="0"/>
            </w:tcBorders>
            <w:shd w:fill="FFF8E1" w:val="clear"/>
            <w:tcMar>
              <w:top w:type="dxa" w:w="80"/>
              <w:left w:type="dxa" w:w="80"/>
              <w:bottom w:type="dxa" w:w="80"/>
              <w:right w:type="dxa" w:w="160"/>
            </w:tcMar>
          </w:tcPr>
          <w:p>
            <w:r>
              <w:rPr>
                <w:rFonts w:ascii="Arial" w:cs="Arial" w:eastAsia="Arial" w:hAnsi="Arial"/>
                <w:color w:val="1A1A2E"/>
                <w:sz w:val="20"/>
                <w:szCs w:val="20"/>
              </w:rPr>
              <w:t xml:space="preserve">La complexité des taxes pour traders actifs (Wash Sale Rule, Section 1256, 60/40 split pour les Futures) représente des dizaines d'heures de travail annuel et des erreurs coûteuses avec l'IRS.</w:t>
            </w:r>
          </w:p>
        </w:tc>
      </w:tr>
      <w:tr>
        <w:tc>
          <w:tcPr>
            <w:tcW w:type="dxa" w:w="1200"/>
            <w:tcBorders>
              <w:top w:val="none" w:color="FFFFFF" w:sz="0"/>
              <w:left w:val="none" w:color="FFFFFF" w:sz="0"/>
              <w:bottom w:val="none" w:color="FFFFFF" w:sz="0"/>
              <w:right w:val="none" w:color="FFFFFF" w:sz="0"/>
            </w:tcBorders>
            <w:shd w:fill="F0F4FF" w:val="clear"/>
            <w:tcMar>
              <w:top w:type="dxa" w:w="80"/>
              <w:left w:type="dxa" w:w="160"/>
              <w:bottom w:type="dxa" w:w="80"/>
              <w:right w:type="dxa" w:w="80"/>
            </w:tcMar>
          </w:tcPr>
          <w:p>
            <w:r>
              <w:rPr>
                <w:rFonts w:ascii="Arial" w:cs="Arial" w:eastAsia="Arial" w:hAnsi="Arial"/>
                <w:b/>
                <w:bCs/>
                <w:color w:val="006633"/>
                <w:sz w:val="18"/>
                <w:szCs w:val="18"/>
              </w:rPr>
              <w:t xml:space="preserve">✅ VALEUR</w:t>
            </w:r>
          </w:p>
        </w:tc>
        <w:tc>
          <w:tcPr>
            <w:tcBorders>
              <w:top w:val="none" w:color="FFFFFF" w:sz="0"/>
              <w:left w:val="none" w:color="FFFFFF" w:sz="0"/>
              <w:bottom w:val="none" w:color="FFFFFF" w:sz="0"/>
              <w:right w:val="none" w:color="FFFFFF" w:sz="0"/>
            </w:tcBorders>
            <w:shd w:fill="F0F4FF" w:val="clear"/>
            <w:tcMar>
              <w:top w:type="dxa" w:w="80"/>
              <w:left w:type="dxa" w:w="80"/>
              <w:bottom w:type="dxa" w:w="80"/>
              <w:right w:type="dxa" w:w="160"/>
            </w:tcMar>
          </w:tcPr>
          <w:p>
            <w:r>
              <w:rPr>
                <w:rFonts w:ascii="Arial" w:cs="Arial" w:eastAsia="Arial" w:hAnsi="Arial"/>
                <w:color w:val="1A1A2E"/>
                <w:sz w:val="20"/>
                <w:szCs w:val="20"/>
              </w:rPr>
              <w:t xml:space="preserve">Génération automatique des formulaires IRS : Form 8949, Schedule D, 1099-B. Gestion automatique des Wash Sales (règle des 30 jours). Application du régime Section 1256 pour les Futures (60% long-term / 40% short-term). Export vers logiciels comptables (TurboTax, TaxAct). Extensible à d'autres juridictions (France : régime BNC, Allemagne, UK).</w:t>
            </w:r>
          </w:p>
        </w:tc>
      </w:tr>
    </w:tbl>
    <w:p>
      <w:pPr>
        <w:spacing w:before="160" w:after="0"/>
      </w:pPr>
      <w:r>
        <w:t xml:space="preserve"/>
      </w:r>
    </w:p>
    <w:p>
      <w:r>
        <w:br w:type="page"/>
      </w:r>
    </w:p>
    <w:p>
      <w:pPr>
        <w:pStyle w:val="Heading1"/>
        <w:spacing w:before="200" w:after="100"/>
      </w:pPr>
      <w:r>
        <w:rPr>
          <w:rFonts w:ascii="Arial" w:cs="Arial" w:eastAsia="Arial" w:hAnsi="Arial"/>
          <w:b/>
          <w:bCs/>
          <w:color w:val="0A0E1A"/>
          <w:sz w:val="28"/>
          <w:szCs w:val="28"/>
        </w:rPr>
        <w:t xml:space="preserve">ANNEXE TECHNIQUE — ÉQUATIONS DE PERFORMANCE</w:t>
      </w:r>
    </w:p>
    <w:p>
      <w:pPr>
        <w:pBdr>
          <w:bottom w:val="single" w:color="5B7FFF" w:sz="8" w:space="1"/>
        </w:pBdr>
        <w:spacing w:before="100" w:after="100"/>
      </w:pPr>
      <w:r>
        <w:t xml:space="preserve"/>
      </w:r>
    </w:p>
    <w:p>
      <w:pPr>
        <w:spacing w:before="120" w:after="160"/>
      </w:pPr>
      <w:r>
        <w:rPr>
          <w:rFonts w:ascii="Arial" w:cs="Arial" w:eastAsia="Arial" w:hAnsi="Arial"/>
          <w:i/>
          <w:iCs/>
          <w:color w:val="3A3A5C"/>
          <w:sz w:val="20"/>
          <w:szCs w:val="20"/>
        </w:rPr>
        <w:t xml:space="preserve">Formules mathématiques de niveau institutionnel intégrées dans le moteur de calcul d'AETHERIS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Expectancy (E) — Espérance Mathématique par Trade</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E = (Win% × Avg_Win) − (Loss% × Avg_Loss)</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Mesure fondamentale de la viabilité d'une stratégie. Une expectancy positive signifie que la stratégie est mathématiquement profitable sur le long terme, indépendamment du taux de réussite seul.</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Seuil critique : E &gt; 0 obligatoire. E &gt; 0.5R est considéré comme excellent.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Profit Factor (PF) — Facteur de Profit Brut</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PF = Σ(Gross Profits) / Σ(Gross Losses)</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Rapport entre la somme des profits bruts et la somme des pertes brutes. Indépendant du nombre de trades — mesure la qualité pure de la stratégie.</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Benchmark : PF &gt; 1.5 = viable. PF &gt; 2.0 = exceptionnel. PF &lt; 1.0 = stratégie perdante.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R-Multiple — Performance Normalisée au Risque</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R = (Prix_Sortie − Prix_Entrée) / (Prix_Entrée − Stop_Loss)</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Normalise chaque trade en unités de risque initial. Permet de comparer des trades sur des instruments et capitaux différents sur une échelle commune. Base du système Van Tharp.</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Objectif : R moyen &gt; 1.0. Un trade à 2R signifie que le profit est 2x le risque initial.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Ratio de Sharpe — Rendement Ajusté à la Volatilité</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S = (Rp − Rf) / σp</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Rp = rendement portefeuille, Rf = taux sans risque, σp = volatilité (écart-type). Mesure institutionnelle de l'efficacité : combien de rendement pour chaque unité de risque pris.</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Benchmark : S &gt; 1.0 = acceptable. S &gt; 2.0 = excellent. S &gt; 3.0 = niveau hedge fund.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Ratio de Sortino — Ajustement Downside Only</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So = (Rp − Rf) / σd   [σd = downside deviation uniquement]</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Amélioration du Sharpe : ne pénalise que la volatilité négative (pertes), pas la volatilité positive (gains exceptionnels). Plus pertinent pour les traders avec des outliers positifs.</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Préférer Sortino au Sharpe pour les stratégies momentum ou breakout asymétriques.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Kelly Criterion — Taille de Position Optimale</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f* = (b×p − q) / b   [b = gain_ratio, p = win%, q = 1−p]</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Calcule la fraction optimale du capital à risquer pour maximiser la croissance géométrique à long terme. En pratique, utiliser 50% du Kelly (Half Kelly) pour réduire la variance.</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Exemple : Win 60%, Avg Win/Loss = 1.5 → f* = (1.5×0.6 − 0.4)/1.5 = 33%. Half Kelly = 16.5%.</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Maximum Drawdown (MDD) — Pire Perte Depuis un Pic</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MDD = (Trough − Peak) / Peak × 100%</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Mesure la perte maximale enregistrée depuis un sommet de capital jusqu'au creux suivant. Indicateur clé de résilience psychologique et de viabilité du money management.</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Règle empirique : MDD &lt; 20% pour stratégie viable. MDD &gt; 30% = révision obligatoire du sizing.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1A5C" w:val="clear"/>
            <w:tcMar>
              <w:top w:type="dxa" w:w="100"/>
              <w:left w:type="dxa" w:w="160"/>
              <w:bottom w:type="dxa" w:w="80"/>
              <w:right w:type="dxa" w:w="160"/>
            </w:tcMar>
          </w:tcPr>
          <w:p>
            <w:r>
              <w:rPr>
                <w:rFonts w:ascii="Arial" w:cs="Arial" w:eastAsia="Arial" w:hAnsi="Arial"/>
                <w:b/>
                <w:bCs/>
                <w:color w:val="D4A853"/>
                <w:sz w:val="22"/>
                <w:szCs w:val="22"/>
              </w:rPr>
              <w:t xml:space="preserve">MFE / MAE — Analyse de Qualité d'Exécution</w:t>
            </w:r>
          </w:p>
        </w:tc>
      </w:tr>
      <w:tr>
        <w:tc>
          <w:tcPr>
            <w:tcBorders>
              <w:top w:val="none" w:color="FFFFFF" w:sz="0"/>
              <w:left w:val="none" w:color="FFFFFF" w:sz="0"/>
              <w:bottom w:val="none" w:color="FFFFFF" w:sz="0"/>
              <w:right w:val="none" w:color="FFFFFF" w:sz="0"/>
            </w:tcBorders>
            <w:shd w:fill="1A0A2E" w:val="clear"/>
            <w:tcMar>
              <w:top w:type="dxa" w:w="100"/>
              <w:left w:type="dxa" w:w="200"/>
              <w:bottom w:type="dxa" w:w="100"/>
              <w:right w:type="dxa" w:w="200"/>
            </w:tcMar>
          </w:tcPr>
          <w:p>
            <w:pPr>
              <w:jc w:val="center"/>
            </w:pPr>
            <w:r>
              <w:rPr>
                <w:rFonts w:ascii="Courier New" w:cs="Courier New" w:eastAsia="Courier New" w:hAnsi="Courier New"/>
                <w:b/>
                <w:bCs/>
                <w:color w:val="A0D0FF"/>
                <w:sz w:val="24"/>
                <w:szCs w:val="24"/>
              </w:rPr>
              <w:t xml:space="preserve">MFE = max(High_during_trade − Entry)   MAE = max(Entry − Low_during_trade)</w:t>
            </w:r>
          </w:p>
        </w:tc>
      </w:tr>
      <w:tr>
        <w:tc>
          <w:tcPr>
            <w:tcBorders>
              <w:top w:val="none" w:color="FFFFFF" w:sz="0"/>
              <w:left w:val="none" w:color="FFFFFF" w:sz="0"/>
              <w:bottom w:val="none" w:color="FFFFFF" w:sz="0"/>
              <w:right w:val="none" w:color="FFFFFF" w:sz="0"/>
            </w:tcBorders>
            <w:shd w:fill="F0F0FF" w:val="clear"/>
            <w:tcMar>
              <w:top w:type="dxa" w:w="80"/>
              <w:left w:type="dxa" w:w="160"/>
              <w:bottom w:type="dxa" w:w="40"/>
              <w:right w:type="dxa" w:w="160"/>
            </w:tcMar>
          </w:tcPr>
          <w:p>
            <w:r>
              <w:rPr>
                <w:rFonts w:ascii="Arial" w:cs="Arial" w:eastAsia="Arial" w:hAnsi="Arial"/>
                <w:color w:val="1A1A2E"/>
                <w:sz w:val="19"/>
                <w:szCs w:val="19"/>
              </w:rPr>
              <w:t xml:space="preserve">Max Favorable Excursion : jusqu'où le trade est allé dans votre sens. Max Adverse Excursion : jusqu'où il est allé contre vous avant de revenir. Révèle si le trader sort trop tôt (MFE &gt;&gt; Prix Sortie) ou si ses stops sont trop larges (MAE &gt; Risk défini).</w:t>
            </w:r>
          </w:p>
        </w:tc>
      </w:tr>
      <w:tr>
        <w:tc>
          <w:tcPr>
            <w:tcBorders>
              <w:top w:val="none" w:color="FFFFFF" w:sz="0"/>
              <w:left w:val="none" w:color="FFFFFF" w:sz="0"/>
              <w:bottom w:val="none" w:color="FFFFFF" w:sz="0"/>
              <w:right w:val="none" w:color="FFFFFF" w:sz="0"/>
            </w:tcBorders>
            <w:shd w:fill="E8F5E9" w:val="clear"/>
            <w:tcMar>
              <w:top w:type="dxa" w:w="40"/>
              <w:left w:type="dxa" w:w="160"/>
              <w:bottom w:type="dxa" w:w="80"/>
              <w:right w:type="dxa" w:w="160"/>
            </w:tcMar>
          </w:tcPr>
          <w:p>
            <w:r>
              <w:rPr>
                <w:rFonts w:ascii="Arial" w:cs="Arial" w:eastAsia="Arial" w:hAnsi="Arial"/>
                <w:i/>
                <w:iCs/>
                <w:color w:val="006633"/>
                <w:sz w:val="18"/>
                <w:szCs w:val="18"/>
              </w:rPr>
              <w:t xml:space="preserve">📊 Visualisation MFE/MAE en scatter plot : identifie les 'early exits' systématiques et les 'wide stops' inutiles.</w:t>
            </w:r>
          </w:p>
        </w:tc>
      </w:tr>
    </w:tbl>
    <w:p>
      <w:pPr>
        <w:spacing w:before="160" w:after="0"/>
      </w:pPr>
      <w:r>
        <w:t xml:space="preserve"/>
      </w:r>
    </w:p>
    <w:p>
      <w:r>
        <w:br w:type="page"/>
      </w:r>
    </w:p>
    <w:p>
      <w:pPr>
        <w:pStyle w:val="Heading1"/>
        <w:shd w:fill="4A1A1A" w:val="clear"/>
        <w:spacing w:before="200" w:after="100"/>
        <w:jc w:val="center"/>
      </w:pPr>
      <w:r>
        <w:rPr>
          <w:rFonts w:ascii="Arial" w:cs="Arial" w:eastAsia="Arial" w:hAnsi="Arial"/>
          <w:b/>
          <w:bCs/>
          <w:color w:val="D4A853"/>
          <w:sz w:val="28"/>
          <w:szCs w:val="28"/>
        </w:rPr>
        <w:t xml:space="preserve">⚔  SYNTHÈSE DU MOAT — AVANTAGE COMPÉTITIF DÉCISIF  ⚔</w:t>
      </w:r>
    </w:p>
    <w:p>
      <w:pPr>
        <w:spacing w:before="80" w:after="200"/>
        <w:jc w:val="center"/>
      </w:pPr>
      <w:r>
        <w:rPr>
          <w:rFonts w:ascii="Arial" w:cs="Arial" w:eastAsia="Arial" w:hAnsi="Arial"/>
          <w:i/>
          <w:iCs/>
          <w:color w:val="888888"/>
          <w:sz w:val="20"/>
          <w:szCs w:val="20"/>
        </w:rPr>
        <w:t xml:space="preserve">5 raisons pour lesquelles AETHERIS est supérieur à TraderSync · Edgewonk · Tradervue · TradesViz · TradeZella</w:t>
      </w:r>
    </w:p>
    <w:p>
      <w:pPr>
        <w:pBdr>
          <w:bottom w:val="single" w:color="D4A853" w:sz="8" w:space="1"/>
        </w:pBdr>
        <w:spacing w:before="100" w:after="10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vMerge w:val="restart"/>
            <w:tcBorders>
              <w:top w:val="none" w:color="FFFFFF" w:sz="0"/>
              <w:left w:val="none" w:color="FFFFFF" w:sz="0"/>
              <w:bottom w:val="none" w:color="FFFFFF" w:sz="0"/>
              <w:right w:val="none" w:color="FFFFFF" w:sz="0"/>
            </w:tcBorders>
            <w:shd w:fill="D4A853" w:val="clear"/>
            <w:tcMar>
              <w:top w:type="dxa" w:w="120"/>
              <w:left w:type="dxa" w:w="120"/>
              <w:bottom w:type="dxa" w:w="120"/>
              <w:right w:type="dxa" w:w="120"/>
            </w:tcMar>
            <w:vAlign w:val="center"/>
          </w:tcPr>
          <w:p>
            <w:pPr>
              <w:jc w:val="center"/>
            </w:pPr>
            <w:r>
              <w:rPr>
                <w:rFonts w:ascii="Arial" w:cs="Arial" w:eastAsia="Arial" w:hAnsi="Arial"/>
                <w:b/>
                <w:bCs/>
                <w:color w:val="0A0E1A"/>
                <w:sz w:val="32"/>
                <w:szCs w:val="32"/>
              </w:rPr>
              <w:t xml:space="preserve">01</w:t>
            </w:r>
          </w:p>
        </w:tc>
        <w:tc>
          <w:tcPr>
            <w:tcBorders>
              <w:top w:val="none" w:color="FFFFFF" w:sz="0"/>
              <w:left w:val="none" w:color="FFFFFF" w:sz="0"/>
              <w:bottom w:val="none" w:color="FFFFFF" w:sz="0"/>
              <w:right w:val="none" w:color="FFFFFF" w:sz="0"/>
            </w:tcBorders>
            <w:shd w:fill="4A1A1A" w:val="clear"/>
            <w:tcMar>
              <w:top w:type="dxa" w:w="80"/>
              <w:left w:type="dxa" w:w="160"/>
              <w:bottom w:type="dxa" w:w="40"/>
              <w:right w:type="dxa" w:w="160"/>
            </w:tcMar>
          </w:tcPr>
          <w:p>
            <w:r>
              <w:rPr>
                <w:rFonts w:ascii="Arial" w:cs="Arial" w:eastAsia="Arial" w:hAnsi="Arial"/>
                <w:b/>
                <w:bCs/>
                <w:color w:val="D4A853"/>
                <w:sz w:val="24"/>
                <w:szCs w:val="24"/>
              </w:rPr>
              <w:t xml:space="preserve">PRÉVENTION ACTIVE vs ENREGISTREMENT PASSIF</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A1A1A" w:val="clear"/>
            <w:tcMar>
              <w:top w:type="dxa" w:w="40"/>
              <w:left w:type="dxa" w:w="160"/>
              <w:bottom w:type="dxa" w:w="80"/>
              <w:right w:type="dxa" w:w="160"/>
            </w:tcMar>
          </w:tcPr>
          <w:p>
            <w:r>
              <w:rPr>
                <w:rFonts w:ascii="Arial" w:cs="Arial" w:eastAsia="Arial" w:hAnsi="Arial"/>
                <w:color w:val="DDDDCC"/>
                <w:sz w:val="20"/>
                <w:szCs w:val="20"/>
              </w:rPr>
              <w:t xml:space="preserve">Tous les concurrents enregistrent les erreurs après qu'elles sont commises. Aether Armor intervient AVANT la violation — Soft Breach Guardrails, webhooks de verrouillage, détection du tilt en temps réel. Le seul outil qui protège le capital plutôt que de l'autopsier.</w:t>
            </w:r>
          </w:p>
          <w:p>
            <w:pPr>
              <w:spacing w:before="60"/>
            </w:pPr>
            <w:r>
              <w:rPr>
                <w:rFonts w:ascii="Arial" w:cs="Arial" w:eastAsia="Arial" w:hAnsi="Arial"/>
                <w:b/>
                <w:bCs/>
                <w:color w:val="FF9999"/>
                <w:sz w:val="18"/>
                <w:szCs w:val="18"/>
              </w:rPr>
              <w:t xml:space="preserve">vs concurrence : </w:t>
            </w:r>
            <w:r>
              <w:rPr>
                <w:rFonts w:ascii="Arial" w:cs="Arial" w:eastAsia="Arial" w:hAnsi="Arial"/>
                <w:color w:val="FFCCAA"/>
                <w:sz w:val="18"/>
                <w:szCs w:val="18"/>
              </w:rPr>
              <w:t xml:space="preserve">TraderSync, Edgewonk, Tradervue = journaux passifs. Plancana a des guardrails basiques sans IA contextuelle.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vMerge w:val="restart"/>
            <w:tcBorders>
              <w:top w:val="none" w:color="FFFFFF" w:sz="0"/>
              <w:left w:val="none" w:color="FFFFFF" w:sz="0"/>
              <w:bottom w:val="none" w:color="FFFFFF" w:sz="0"/>
              <w:right w:val="none" w:color="FFFFFF" w:sz="0"/>
            </w:tcBorders>
            <w:shd w:fill="D4A853" w:val="clear"/>
            <w:tcMar>
              <w:top w:type="dxa" w:w="120"/>
              <w:left w:type="dxa" w:w="120"/>
              <w:bottom w:type="dxa" w:w="120"/>
              <w:right w:type="dxa" w:w="120"/>
            </w:tcMar>
            <w:vAlign w:val="center"/>
          </w:tcPr>
          <w:p>
            <w:pPr>
              <w:jc w:val="center"/>
            </w:pPr>
            <w:r>
              <w:rPr>
                <w:rFonts w:ascii="Arial" w:cs="Arial" w:eastAsia="Arial" w:hAnsi="Arial"/>
                <w:b/>
                <w:bCs/>
                <w:color w:val="0A0E1A"/>
                <w:sz w:val="32"/>
                <w:szCs w:val="32"/>
              </w:rPr>
              <w:t xml:space="preserve">02</w:t>
            </w:r>
          </w:p>
        </w:tc>
        <w:tc>
          <w:tcPr>
            <w:tcBorders>
              <w:top w:val="none" w:color="FFFFFF" w:sz="0"/>
              <w:left w:val="none" w:color="FFFFFF" w:sz="0"/>
              <w:bottom w:val="none" w:color="FFFFFF" w:sz="0"/>
              <w:right w:val="none" w:color="FFFFFF" w:sz="0"/>
            </w:tcBorders>
            <w:shd w:fill="4A1A1A" w:val="clear"/>
            <w:tcMar>
              <w:top w:type="dxa" w:w="80"/>
              <w:left w:type="dxa" w:w="160"/>
              <w:bottom w:type="dxa" w:w="40"/>
              <w:right w:type="dxa" w:w="160"/>
            </w:tcMar>
          </w:tcPr>
          <w:p>
            <w:r>
              <w:rPr>
                <w:rFonts w:ascii="Arial" w:cs="Arial" w:eastAsia="Arial" w:hAnsi="Arial"/>
                <w:b/>
                <w:bCs/>
                <w:color w:val="D4A853"/>
                <w:sz w:val="24"/>
                <w:szCs w:val="24"/>
              </w:rPr>
              <w:t xml:space="preserve">INTELLIGENCE INSTITUTIONNELLE DÉMOCRATISÉE</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A1A1A" w:val="clear"/>
            <w:tcMar>
              <w:top w:type="dxa" w:w="40"/>
              <w:left w:type="dxa" w:w="160"/>
              <w:bottom w:type="dxa" w:w="80"/>
              <w:right w:type="dxa" w:w="160"/>
            </w:tcMar>
          </w:tcPr>
          <w:p>
            <w:r>
              <w:rPr>
                <w:rFonts w:ascii="Arial" w:cs="Arial" w:eastAsia="Arial" w:hAnsi="Arial"/>
                <w:color w:val="DDDDCC"/>
                <w:sz w:val="20"/>
                <w:szCs w:val="20"/>
              </w:rPr>
              <w:t xml:space="preserve">AETHERIS est le premier journal retail à intégrer les flux Whale, le Shadow Index (rééquilibrages ETFs/indices) et les données COT dans l'Oracle Consensus Pre-Trade. Les traders retail obtiennent une information de niveau hedge fund pour contextualiser chaque perte.</w:t>
            </w:r>
          </w:p>
          <w:p>
            <w:pPr>
              <w:spacing w:before="60"/>
            </w:pPr>
            <w:r>
              <w:rPr>
                <w:rFonts w:ascii="Arial" w:cs="Arial" w:eastAsia="Arial" w:hAnsi="Arial"/>
                <w:b/>
                <w:bCs/>
                <w:color w:val="FF9999"/>
                <w:sz w:val="18"/>
                <w:szCs w:val="18"/>
              </w:rPr>
              <w:t xml:space="preserve">vs concurrence : </w:t>
            </w:r>
            <w:r>
              <w:rPr>
                <w:rFonts w:ascii="Arial" w:cs="Arial" w:eastAsia="Arial" w:hAnsi="Arial"/>
                <w:color w:val="FFCCAA"/>
                <w:sz w:val="18"/>
                <w:szCs w:val="18"/>
              </w:rPr>
              <w:t xml:space="preserve">Aucun concurrent (TraderSync, Edgewonk, TradesViz) n'intègre de données on-chain, COT ou Shadow Flow dans le journal.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vMerge w:val="restart"/>
            <w:tcBorders>
              <w:top w:val="none" w:color="FFFFFF" w:sz="0"/>
              <w:left w:val="none" w:color="FFFFFF" w:sz="0"/>
              <w:bottom w:val="none" w:color="FFFFFF" w:sz="0"/>
              <w:right w:val="none" w:color="FFFFFF" w:sz="0"/>
            </w:tcBorders>
            <w:shd w:fill="D4A853" w:val="clear"/>
            <w:tcMar>
              <w:top w:type="dxa" w:w="120"/>
              <w:left w:type="dxa" w:w="120"/>
              <w:bottom w:type="dxa" w:w="120"/>
              <w:right w:type="dxa" w:w="120"/>
            </w:tcMar>
            <w:vAlign w:val="center"/>
          </w:tcPr>
          <w:p>
            <w:pPr>
              <w:jc w:val="center"/>
            </w:pPr>
            <w:r>
              <w:rPr>
                <w:rFonts w:ascii="Arial" w:cs="Arial" w:eastAsia="Arial" w:hAnsi="Arial"/>
                <w:b/>
                <w:bCs/>
                <w:color w:val="0A0E1A"/>
                <w:sz w:val="32"/>
                <w:szCs w:val="32"/>
              </w:rPr>
              <w:t xml:space="preserve">03</w:t>
            </w:r>
          </w:p>
        </w:tc>
        <w:tc>
          <w:tcPr>
            <w:tcBorders>
              <w:top w:val="none" w:color="FFFFFF" w:sz="0"/>
              <w:left w:val="none" w:color="FFFFFF" w:sz="0"/>
              <w:bottom w:val="none" w:color="FFFFFF" w:sz="0"/>
              <w:right w:val="none" w:color="FFFFFF" w:sz="0"/>
            </w:tcBorders>
            <w:shd w:fill="4A1A1A" w:val="clear"/>
            <w:tcMar>
              <w:top w:type="dxa" w:w="80"/>
              <w:left w:type="dxa" w:w="160"/>
              <w:bottom w:type="dxa" w:w="40"/>
              <w:right w:type="dxa" w:w="160"/>
            </w:tcMar>
          </w:tcPr>
          <w:p>
            <w:r>
              <w:rPr>
                <w:rFonts w:ascii="Arial" w:cs="Arial" w:eastAsia="Arial" w:hAnsi="Arial"/>
                <w:b/>
                <w:bCs/>
                <w:color w:val="D4A853"/>
                <w:sz w:val="24"/>
                <w:szCs w:val="24"/>
              </w:rPr>
              <w:t xml:space="preserve">PSYCHOLOGIE 3.0 — ANALYSE DE STRESS VOCALE</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A1A1A" w:val="clear"/>
            <w:tcMar>
              <w:top w:type="dxa" w:w="40"/>
              <w:left w:type="dxa" w:w="160"/>
              <w:bottom w:type="dxa" w:w="80"/>
              <w:right w:type="dxa" w:w="160"/>
            </w:tcMar>
          </w:tcPr>
          <w:p>
            <w:r>
              <w:rPr>
                <w:rFonts w:ascii="Arial" w:cs="Arial" w:eastAsia="Arial" w:hAnsi="Arial"/>
                <w:color w:val="DDDDCC"/>
                <w:sz w:val="20"/>
                <w:szCs w:val="20"/>
              </w:rPr>
              <w:t xml:space="preserve">La journalisation vocale avec détection IA des micro-tremors et variations de pitch est une rupture technologique. Le trader ne peut pas mentir à son journal vocal — l'IA détecte l'état émotionnel réel, indépendamment du texte rédigé. Première quantification objective de l'état mental du trader.</w:t>
            </w:r>
          </w:p>
          <w:p>
            <w:pPr>
              <w:spacing w:before="60"/>
            </w:pPr>
            <w:r>
              <w:rPr>
                <w:rFonts w:ascii="Arial" w:cs="Arial" w:eastAsia="Arial" w:hAnsi="Arial"/>
                <w:b/>
                <w:bCs/>
                <w:color w:val="FF9999"/>
                <w:sz w:val="18"/>
                <w:szCs w:val="18"/>
              </w:rPr>
              <w:t xml:space="preserve">vs concurrence : </w:t>
            </w:r>
            <w:r>
              <w:rPr>
                <w:rFonts w:ascii="Arial" w:cs="Arial" w:eastAsia="Arial" w:hAnsi="Arial"/>
                <w:color w:val="FFCCAA"/>
                <w:sz w:val="18"/>
                <w:szCs w:val="18"/>
              </w:rPr>
              <w:t xml:space="preserve">TradeZella a une section journal textuelle. Aucun concurrent n'offre d'analyse prosodique IA ou de détection de stress vocal.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vMerge w:val="restart"/>
            <w:tcBorders>
              <w:top w:val="none" w:color="FFFFFF" w:sz="0"/>
              <w:left w:val="none" w:color="FFFFFF" w:sz="0"/>
              <w:bottom w:val="none" w:color="FFFFFF" w:sz="0"/>
              <w:right w:val="none" w:color="FFFFFF" w:sz="0"/>
            </w:tcBorders>
            <w:shd w:fill="D4A853" w:val="clear"/>
            <w:tcMar>
              <w:top w:type="dxa" w:w="120"/>
              <w:left w:type="dxa" w:w="120"/>
              <w:bottom w:type="dxa" w:w="120"/>
              <w:right w:type="dxa" w:w="120"/>
            </w:tcMar>
            <w:vAlign w:val="center"/>
          </w:tcPr>
          <w:p>
            <w:pPr>
              <w:jc w:val="center"/>
            </w:pPr>
            <w:r>
              <w:rPr>
                <w:rFonts w:ascii="Arial" w:cs="Arial" w:eastAsia="Arial" w:hAnsi="Arial"/>
                <w:b/>
                <w:bCs/>
                <w:color w:val="0A0E1A"/>
                <w:sz w:val="32"/>
                <w:szCs w:val="32"/>
              </w:rPr>
              <w:t xml:space="preserve">04</w:t>
            </w:r>
          </w:p>
        </w:tc>
        <w:tc>
          <w:tcPr>
            <w:tcBorders>
              <w:top w:val="none" w:color="FFFFFF" w:sz="0"/>
              <w:left w:val="none" w:color="FFFFFF" w:sz="0"/>
              <w:bottom w:val="none" w:color="FFFFFF" w:sz="0"/>
              <w:right w:val="none" w:color="FFFFFF" w:sz="0"/>
            </w:tcBorders>
            <w:shd w:fill="4A1A1A" w:val="clear"/>
            <w:tcMar>
              <w:top w:type="dxa" w:w="80"/>
              <w:left w:type="dxa" w:w="160"/>
              <w:bottom w:type="dxa" w:w="40"/>
              <w:right w:type="dxa" w:w="160"/>
            </w:tcMar>
          </w:tcPr>
          <w:p>
            <w:r>
              <w:rPr>
                <w:rFonts w:ascii="Arial" w:cs="Arial" w:eastAsia="Arial" w:hAnsi="Arial"/>
                <w:b/>
                <w:bCs/>
                <w:color w:val="D4A853"/>
                <w:sz w:val="24"/>
                <w:szCs w:val="24"/>
              </w:rPr>
              <w:t xml:space="preserve">VISUALISATION 3D — CLUSTERS INVISIBLES EN 2D</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A1A1A" w:val="clear"/>
            <w:tcMar>
              <w:top w:type="dxa" w:w="40"/>
              <w:left w:type="dxa" w:w="160"/>
              <w:bottom w:type="dxa" w:w="80"/>
              <w:right w:type="dxa" w:w="160"/>
            </w:tcMar>
          </w:tcPr>
          <w:p>
            <w:r>
              <w:rPr>
                <w:rFonts w:ascii="Arial" w:cs="Arial" w:eastAsia="Arial" w:hAnsi="Arial"/>
                <w:color w:val="DDDDCC"/>
                <w:sz w:val="20"/>
                <w:szCs w:val="20"/>
              </w:rPr>
              <w:t xml:space="preserve">La cartographie Galaxie 3D révèle des patterns multidimensionnels (heure × instrument × durée × P/L) que les graphiques 2D occultent structurellement. Les traders avancés identifient leur 'zone optimale' — la combinaison exacte de conditions où ils sont statistiquement dominants.</w:t>
            </w:r>
          </w:p>
          <w:p>
            <w:pPr>
              <w:spacing w:before="60"/>
            </w:pPr>
            <w:r>
              <w:rPr>
                <w:rFonts w:ascii="Arial" w:cs="Arial" w:eastAsia="Arial" w:hAnsi="Arial"/>
                <w:b/>
                <w:bCs/>
                <w:color w:val="FF9999"/>
                <w:sz w:val="18"/>
                <w:szCs w:val="18"/>
              </w:rPr>
              <w:t xml:space="preserve">vs concurrence : </w:t>
            </w:r>
            <w:r>
              <w:rPr>
                <w:rFonts w:ascii="Arial" w:cs="Arial" w:eastAsia="Arial" w:hAnsi="Arial"/>
                <w:color w:val="FFCCAA"/>
                <w:sz w:val="18"/>
                <w:szCs w:val="18"/>
              </w:rPr>
              <w:t xml:space="preserve">MyTradeVision explore la 3D mais sans la profondeur analytique et la personnalisation des axes. Tous les autres sont en 2D exclusivement.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vMerge w:val="restart"/>
            <w:tcBorders>
              <w:top w:val="none" w:color="FFFFFF" w:sz="0"/>
              <w:left w:val="none" w:color="FFFFFF" w:sz="0"/>
              <w:bottom w:val="none" w:color="FFFFFF" w:sz="0"/>
              <w:right w:val="none" w:color="FFFFFF" w:sz="0"/>
            </w:tcBorders>
            <w:shd w:fill="D4A853" w:val="clear"/>
            <w:tcMar>
              <w:top w:type="dxa" w:w="120"/>
              <w:left w:type="dxa" w:w="120"/>
              <w:bottom w:type="dxa" w:w="120"/>
              <w:right w:type="dxa" w:w="120"/>
            </w:tcMar>
            <w:vAlign w:val="center"/>
          </w:tcPr>
          <w:p>
            <w:pPr>
              <w:jc w:val="center"/>
            </w:pPr>
            <w:r>
              <w:rPr>
                <w:rFonts w:ascii="Arial" w:cs="Arial" w:eastAsia="Arial" w:hAnsi="Arial"/>
                <w:b/>
                <w:bCs/>
                <w:color w:val="0A0E1A"/>
                <w:sz w:val="32"/>
                <w:szCs w:val="32"/>
              </w:rPr>
              <w:t xml:space="preserve">05</w:t>
            </w:r>
          </w:p>
        </w:tc>
        <w:tc>
          <w:tcPr>
            <w:tcBorders>
              <w:top w:val="none" w:color="FFFFFF" w:sz="0"/>
              <w:left w:val="none" w:color="FFFFFF" w:sz="0"/>
              <w:bottom w:val="none" w:color="FFFFFF" w:sz="0"/>
              <w:right w:val="none" w:color="FFFFFF" w:sz="0"/>
            </w:tcBorders>
            <w:shd w:fill="4A1A1A" w:val="clear"/>
            <w:tcMar>
              <w:top w:type="dxa" w:w="80"/>
              <w:left w:type="dxa" w:w="160"/>
              <w:bottom w:type="dxa" w:w="40"/>
              <w:right w:type="dxa" w:w="160"/>
            </w:tcMar>
          </w:tcPr>
          <w:p>
            <w:r>
              <w:rPr>
                <w:rFonts w:ascii="Arial" w:cs="Arial" w:eastAsia="Arial" w:hAnsi="Arial"/>
                <w:b/>
                <w:bCs/>
                <w:color w:val="D4A853"/>
                <w:sz w:val="24"/>
                <w:szCs w:val="24"/>
              </w:rPr>
              <w:t xml:space="preserve">COÛT FINANCIER QUANTIFIÉ DES BIAIS — ROI PSYCHOLOGIQUE</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A1A1A" w:val="clear"/>
            <w:tcMar>
              <w:top w:type="dxa" w:w="40"/>
              <w:left w:type="dxa" w:w="160"/>
              <w:bottom w:type="dxa" w:w="80"/>
              <w:right w:type="dxa" w:w="160"/>
            </w:tcMar>
          </w:tcPr>
          <w:p>
            <w:r>
              <w:rPr>
                <w:rFonts w:ascii="Arial" w:cs="Arial" w:eastAsia="Arial" w:hAnsi="Arial"/>
                <w:color w:val="DDDDCC"/>
                <w:sz w:val="20"/>
                <w:szCs w:val="20"/>
              </w:rPr>
              <w:t xml:space="preserve">Savoir qu'on a du FOMO est inutile sans mesure. Aether Flow calcule automatiquement que 'le FOMO vous a coûté 2 340€ ce mois'. Ce choc cognitif quantifié crée un levier de changement comportemental qu'aucun journal ne peut offrir sans IA de corrélation biais→P/L.</w:t>
            </w:r>
          </w:p>
          <w:p>
            <w:pPr>
              <w:spacing w:before="60"/>
            </w:pPr>
            <w:r>
              <w:rPr>
                <w:rFonts w:ascii="Arial" w:cs="Arial" w:eastAsia="Arial" w:hAnsi="Arial"/>
                <w:b/>
                <w:bCs/>
                <w:color w:val="FF9999"/>
                <w:sz w:val="18"/>
                <w:szCs w:val="18"/>
              </w:rPr>
              <w:t xml:space="preserve">vs concurrence : </w:t>
            </w:r>
            <w:r>
              <w:rPr>
                <w:rFonts w:ascii="Arial" w:cs="Arial" w:eastAsia="Arial" w:hAnsi="Arial"/>
                <w:color w:val="FFCCAA"/>
                <w:sz w:val="18"/>
                <w:szCs w:val="18"/>
              </w:rPr>
              <w:t xml:space="preserve">Edgewonk a un Tiltmeter qualitatif. Aucun outil ne calcule le coût financier précis de chaque biais émotionnel sur une période.</w:t>
            </w:r>
          </w:p>
        </w:tc>
      </w:tr>
    </w:tbl>
    <w:p>
      <w:pPr>
        <w:spacing w:before="300" w:after="0"/>
      </w:pPr>
      <w:r>
        <w:t xml:space="preserve"/>
      </w:r>
    </w:p>
    <w:p>
      <w:pPr>
        <w:pBdr>
          <w:bottom w:val="single" w:color="D4A853" w:sz="8" w:space="1"/>
        </w:pBdr>
        <w:spacing w:before="100" w:after="100"/>
      </w:pPr>
      <w:r>
        <w:t xml:space="preserve"/>
      </w:r>
    </w:p>
    <w:p>
      <w:pPr>
        <w:spacing w:before="200" w:after="100"/>
        <w:jc w:val="center"/>
      </w:pPr>
      <w:r>
        <w:rPr>
          <w:rFonts w:ascii="Arial" w:cs="Arial" w:eastAsia="Arial" w:hAnsi="Arial"/>
          <w:b/>
          <w:bCs/>
          <w:color w:val="D4A853"/>
          <w:sz w:val="28"/>
          <w:szCs w:val="28"/>
        </w:rPr>
        <w:t xml:space="preserve">VISION PRODUIT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53" w:sz="1"/>
              <w:left w:val="single" w:color="D4A853" w:sz="1"/>
              <w:bottom w:val="single" w:color="D4A853" w:sz="1"/>
              <w:right w:val="single" w:color="D4A853" w:sz="1"/>
            </w:tcBorders>
            <w:shd w:fill="0A0E1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AETHERIS n'est pas un journal de trading.</w:t>
            </w:r>
          </w:p>
          <w:p>
            <w:pPr>
              <w:spacing w:before="80"/>
              <w:jc w:val="center"/>
            </w:pPr>
            <w:r>
              <w:rPr>
                <w:rFonts w:ascii="Arial" w:cs="Arial" w:eastAsia="Arial" w:hAnsi="Arial"/>
                <w:color w:val="FFFFFF"/>
                <w:sz w:val="28"/>
                <w:szCs w:val="28"/>
              </w:rPr>
              <w:t xml:space="preserve">C'est le premier </w:t>
            </w:r>
            <w:r>
              <w:rPr>
                <w:rFonts w:ascii="Arial" w:cs="Arial" w:eastAsia="Arial" w:hAnsi="Arial"/>
                <w:b/>
                <w:bCs/>
                <w:color w:val="D4A853"/>
                <w:sz w:val="30"/>
                <w:szCs w:val="30"/>
              </w:rPr>
              <w:t xml:space="preserve">Copilote de Trading de Précision</w:t>
            </w:r>
            <w:r>
              <w:rPr>
                <w:rFonts w:ascii="Arial" w:cs="Arial" w:eastAsia="Arial" w:hAnsi="Arial"/>
                <w:color w:val="FFFFFF"/>
                <w:sz w:val="28"/>
                <w:szCs w:val="28"/>
              </w:rPr>
              <w:t xml:space="preserve"> — l'outil qui comble le fossé entre</w:t>
            </w:r>
          </w:p>
          <w:p>
            <w:pPr>
              <w:spacing w:before="60"/>
              <w:jc w:val="center"/>
            </w:pPr>
            <w:r>
              <w:rPr>
                <w:rFonts w:ascii="Arial" w:cs="Arial" w:eastAsia="Arial" w:hAnsi="Arial"/>
                <w:i/>
                <w:iCs/>
                <w:color w:val="AAAACC"/>
                <w:sz w:val="24"/>
                <w:szCs w:val="24"/>
              </w:rPr>
              <w:t xml:space="preserve">les outils retail actuels et les besoins de performance, de psychologie et d'intelligence institutionnelle des traders de 2026.</w:t>
            </w:r>
          </w:p>
        </w:tc>
      </w:tr>
    </w:tbl>
    <w:p>
      <w:pPr>
        <w:spacing w:before="200" w:after="0"/>
      </w:pPr>
      <w:r>
        <w:t xml:space="preserve"/>
      </w:r>
    </w:p>
    <w:p>
      <w:pPr>
        <w:jc w:val="center"/>
      </w:pPr>
      <w:r>
        <w:rPr>
          <w:rFonts w:ascii="Arial" w:cs="Arial" w:eastAsia="Arial" w:hAnsi="Arial"/>
          <w:i/>
          <w:iCs/>
          <w:color w:val="AAAAAA"/>
          <w:sz w:val="16"/>
          <w:szCs w:val="16"/>
        </w:rPr>
        <w:t xml:space="preserve">Document généré par analyse comparative vs TraderSync · Edgewonk · Tradervue · TradesViz · TradeZella — Février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7FFF" w:sz="4" w:space="1"/>
      </w:pBdr>
      <w:tabs>
        <w:tab w:val="right" w:pos="9000"/>
      </w:tabs>
      <w:spacing w:before="80" w:after="0"/>
    </w:pPr>
    <w:r>
      <w:rPr>
        <w:rFonts w:ascii="Arial" w:cs="Arial" w:eastAsia="Arial" w:hAnsi="Arial"/>
        <w:color w:val="888888"/>
        <w:sz w:val="16"/>
        <w:szCs w:val="16"/>
      </w:rPr>
      <w:t xml:space="preserve">Confidentiel — Usage interne</w:t>
    </w:r>
    <w:r>
      <w:rPr>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7FFF" w:sz="6" w:space="1"/>
      </w:pBdr>
      <w:spacing w:before="0" w:after="80"/>
    </w:pPr>
    <w:r>
      <w:rPr>
        <w:rFonts w:ascii="Arial" w:cs="Arial" w:eastAsia="Arial" w:hAnsi="Arial"/>
        <w:b/>
        <w:bCs/>
        <w:color w:val="5B7FFF"/>
        <w:sz w:val="18"/>
        <w:szCs w:val="18"/>
      </w:rPr>
      <w:t xml:space="preserve">⬡ AETHERIS</w:t>
    </w:r>
    <w:r>
      <w:rPr>
        <w:rFonts w:ascii="Arial" w:cs="Arial" w:eastAsia="Arial" w:hAnsi="Arial"/>
        <w:color w:val="888888"/>
        <w:sz w:val="16"/>
        <w:szCs w:val="16"/>
      </w:rPr>
      <w:t xml:space="preserve">  —  Backlog Produit Exhaustif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0A0E1A"/>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2026-02-20T01:13:04.758Z</dcterms:created>
  <dcterms:modified xsi:type="dcterms:W3CDTF">2026-02-20T01:13:04.758Z</dcterms:modified>
</cp:coreProperties>
</file>

<file path=docProps/custom.xml><?xml version="1.0" encoding="utf-8"?>
<Properties xmlns="http://schemas.openxmlformats.org/officeDocument/2006/custom-properties" xmlns:vt="http://schemas.openxmlformats.org/officeDocument/2006/docPropsVTypes"/>
</file>