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46CE" w14:textId="5AD70028" w:rsidR="00DB2A90" w:rsidRPr="00DB2A90" w:rsidRDefault="00DB2A90" w:rsidP="002D7384">
      <w:pPr>
        <w:spacing w:before="100" w:beforeAutospacing="1" w:after="100" w:afterAutospacing="1" w:line="240" w:lineRule="auto"/>
        <w:rPr>
          <w:rFonts w:ascii="Times New Roman" w:eastAsia="Times New Roman" w:hAnsi="Times New Roman" w:cs="Times New Roman"/>
          <w:kern w:val="0"/>
          <w14:ligatures w14:val="none"/>
        </w:rPr>
      </w:pPr>
      <w:r w:rsidRPr="00DB2A90">
        <w:rPr>
          <w:rFonts w:ascii="Times New Roman" w:eastAsia="Times New Roman" w:hAnsi="Times New Roman" w:cs="Times New Roman"/>
          <w:b/>
          <w:bCs/>
          <w:kern w:val="0"/>
          <w14:ligatures w14:val="none"/>
        </w:rPr>
        <w:t>Misgana Okbagaber</w:t>
      </w:r>
      <w:r w:rsidRPr="00DB2A90">
        <w:rPr>
          <w:rFonts w:ascii="Times New Roman" w:eastAsia="Times New Roman" w:hAnsi="Times New Roman" w:cs="Times New Roman"/>
          <w:kern w:val="0"/>
          <w14:ligatures w14:val="none"/>
        </w:rPr>
        <w:br/>
        <w:t>University of Washington</w:t>
      </w:r>
    </w:p>
    <w:p w14:paraId="5E59472C" w14:textId="2430D8C9" w:rsidR="00390502" w:rsidRPr="00DB2A90" w:rsidRDefault="00DB2A90" w:rsidP="00DB2A9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DB2A90">
        <w:rPr>
          <w:rFonts w:ascii="Times New Roman" w:eastAsia="Times New Roman" w:hAnsi="Times New Roman" w:cs="Times New Roman"/>
          <w:b/>
          <w:bCs/>
          <w:kern w:val="36"/>
          <w:sz w:val="32"/>
          <w:szCs w:val="32"/>
          <w14:ligatures w14:val="none"/>
        </w:rPr>
        <w:t>Clinical Decision Making and Pattern Recognition in Health Care</w:t>
      </w:r>
    </w:p>
    <w:p w14:paraId="78F7F659" w14:textId="77777777" w:rsidR="00DB2A90"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DB2A90">
        <w:rPr>
          <w:rFonts w:ascii="Times New Roman" w:eastAsia="Times New Roman" w:hAnsi="Times New Roman" w:cs="Times New Roman"/>
          <w:b/>
          <w:bCs/>
          <w:kern w:val="0"/>
          <w:sz w:val="28"/>
          <w:szCs w:val="28"/>
          <w:u w:val="single"/>
          <w14:ligatures w14:val="none"/>
        </w:rPr>
        <w:t>Introduction</w:t>
      </w:r>
    </w:p>
    <w:p w14:paraId="3C433418" w14:textId="77777777" w:rsidR="002D7384" w:rsidRDefault="002D7384" w:rsidP="002D7384">
      <w:pPr>
        <w:pStyle w:val="NormalWeb"/>
        <w:ind w:firstLine="720"/>
      </w:pPr>
      <w:r>
        <w:t xml:space="preserve">Healthcare organizations process large amounts of patient data every day. Clinical decision-making and pattern recognition use AI and data analytics to identify health risks, support healthcare professionals, and improve </w:t>
      </w:r>
      <w:r>
        <w:rPr>
          <w:rStyle w:val="Strong"/>
          <w:rFonts w:eastAsiaTheme="majorEastAsia"/>
        </w:rPr>
        <w:t>Treatment, Payment, and Operations (TPO)</w:t>
      </w:r>
      <w:r>
        <w:t>. These technologies help improve patient care while reducing costs and increasing efficiency.</w:t>
      </w:r>
    </w:p>
    <w:p w14:paraId="70D39A70" w14:textId="77777777" w:rsidR="00DB2A90"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DB2A90">
        <w:rPr>
          <w:rFonts w:ascii="Times New Roman" w:eastAsia="Times New Roman" w:hAnsi="Times New Roman" w:cs="Times New Roman"/>
          <w:b/>
          <w:bCs/>
          <w:kern w:val="0"/>
          <w:sz w:val="28"/>
          <w:szCs w:val="28"/>
          <w:u w:val="single"/>
          <w14:ligatures w14:val="none"/>
        </w:rPr>
        <w:t>Current Trends in Healthcare AI</w:t>
      </w:r>
    </w:p>
    <w:p w14:paraId="025CD4C4" w14:textId="54B7DEAE" w:rsidR="00DB2A90" w:rsidRPr="00DB2A90" w:rsidRDefault="002D7384" w:rsidP="002D7384">
      <w:pPr>
        <w:pStyle w:val="NormalWeb"/>
        <w:ind w:firstLine="720"/>
      </w:pPr>
      <w:r>
        <w:t xml:space="preserve">Healthcare organizations are increasingly using </w:t>
      </w:r>
      <w:r>
        <w:rPr>
          <w:rStyle w:val="Strong"/>
          <w:rFonts w:eastAsiaTheme="majorEastAsia"/>
        </w:rPr>
        <w:t>artificial intelligence, machine learning, predictive analytics, and generative AI</w:t>
      </w:r>
      <w:r>
        <w:t xml:space="preserve"> to improve patient care, clinical documentation, coding, and workflow. Although advanced AI is growing, many organizations still prefer </w:t>
      </w:r>
      <w:r>
        <w:rPr>
          <w:rStyle w:val="Strong"/>
          <w:rFonts w:eastAsiaTheme="majorEastAsia"/>
        </w:rPr>
        <w:t>rule-based decision support systems</w:t>
      </w:r>
      <w:r>
        <w:t xml:space="preserve"> because they are more transparent, explainable, and easier to validate.</w:t>
      </w:r>
    </w:p>
    <w:p w14:paraId="3E5B128F" w14:textId="77777777" w:rsidR="00DB2A90"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DB2A90">
        <w:rPr>
          <w:rFonts w:ascii="Times New Roman" w:eastAsia="Times New Roman" w:hAnsi="Times New Roman" w:cs="Times New Roman"/>
          <w:b/>
          <w:bCs/>
          <w:kern w:val="0"/>
          <w:sz w:val="28"/>
          <w:szCs w:val="28"/>
          <w:u w:val="single"/>
          <w14:ligatures w14:val="none"/>
        </w:rPr>
        <w:t>Opportunities and Challenges</w:t>
      </w:r>
    </w:p>
    <w:p w14:paraId="18AEAF79" w14:textId="77777777" w:rsidR="002D7384" w:rsidRDefault="002D7384" w:rsidP="002D7384">
      <w:pPr>
        <w:pStyle w:val="NormalWeb"/>
        <w:ind w:firstLine="720"/>
      </w:pPr>
      <w:r>
        <w:t>Clinical decision support can improve efficiency by identifying high-risk patients, reducing documentation time, improving consistency, and supporting payment integrity. However, AI also faces challenges, including the need for accurate patient data, protection of patient privacy, HIPAA compliance, and ensuring that AI supports—not replaces—healthcare professionals' clinical judgment.</w:t>
      </w:r>
    </w:p>
    <w:p w14:paraId="7D748BE3" w14:textId="77777777" w:rsidR="00DB2A90"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DB2A90">
        <w:rPr>
          <w:rFonts w:ascii="Times New Roman" w:eastAsia="Times New Roman" w:hAnsi="Times New Roman" w:cs="Times New Roman"/>
          <w:b/>
          <w:bCs/>
          <w:kern w:val="0"/>
          <w:u w:val="single"/>
          <w14:ligatures w14:val="none"/>
        </w:rPr>
        <w:t>Proof of Concept Application</w:t>
      </w:r>
    </w:p>
    <w:p w14:paraId="6D2DFE09" w14:textId="77777777" w:rsidR="002D7384" w:rsidRPr="002D7384" w:rsidRDefault="002D7384" w:rsidP="002D7384">
      <w:pPr>
        <w:spacing w:before="100" w:beforeAutospacing="1" w:after="100" w:afterAutospacing="1" w:line="240" w:lineRule="auto"/>
        <w:ind w:firstLine="360"/>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A web-based application was developed using </w:t>
      </w:r>
      <w:r w:rsidRPr="002D7384">
        <w:rPr>
          <w:rFonts w:ascii="Times New Roman" w:eastAsia="Times New Roman" w:hAnsi="Times New Roman" w:cs="Times New Roman"/>
          <w:b/>
          <w:bCs/>
          <w:kern w:val="0"/>
          <w14:ligatures w14:val="none"/>
        </w:rPr>
        <w:t xml:space="preserve">Python and </w:t>
      </w:r>
      <w:proofErr w:type="spellStart"/>
      <w:r w:rsidRPr="002D7384">
        <w:rPr>
          <w:rFonts w:ascii="Times New Roman" w:eastAsia="Times New Roman" w:hAnsi="Times New Roman" w:cs="Times New Roman"/>
          <w:b/>
          <w:bCs/>
          <w:kern w:val="0"/>
          <w14:ligatures w14:val="none"/>
        </w:rPr>
        <w:t>Streamlit</w:t>
      </w:r>
      <w:proofErr w:type="spellEnd"/>
      <w:r w:rsidRPr="002D7384">
        <w:rPr>
          <w:rFonts w:ascii="Times New Roman" w:eastAsia="Times New Roman" w:hAnsi="Times New Roman" w:cs="Times New Roman"/>
          <w:kern w:val="0"/>
          <w14:ligatures w14:val="none"/>
        </w:rPr>
        <w:t xml:space="preserve"> to demonstrate clinical decision support for Treatment, Payment, and Operations. Users enter patient information, and the system calculates a clinical risk score and generates a dashboard with:</w:t>
      </w:r>
    </w:p>
    <w:p w14:paraId="18779D4D"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Clinical Risk Assessment </w:t>
      </w:r>
    </w:p>
    <w:p w14:paraId="3FDA5A61"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Clinical Reasoning Summary </w:t>
      </w:r>
    </w:p>
    <w:p w14:paraId="36CA190D"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Payment Integrity Review </w:t>
      </w:r>
    </w:p>
    <w:p w14:paraId="022FCB16"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Documentation Quality Review </w:t>
      </w:r>
    </w:p>
    <w:p w14:paraId="7E8EC9C7"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ICD-10 Category Suggestions </w:t>
      </w:r>
    </w:p>
    <w:p w14:paraId="46DFDFBD"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Operations Recommendations </w:t>
      </w:r>
    </w:p>
    <w:p w14:paraId="15973D97" w14:textId="77777777" w:rsidR="002D7384" w:rsidRPr="002D7384" w:rsidRDefault="002D7384" w:rsidP="002D73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Exportable Clinical Case Report </w:t>
      </w:r>
    </w:p>
    <w:p w14:paraId="7E8E1E06" w14:textId="77777777" w:rsidR="002D7384" w:rsidRDefault="002D7384" w:rsidP="00DB2A90">
      <w:pPr>
        <w:spacing w:before="100" w:beforeAutospacing="1" w:after="100" w:afterAutospacing="1" w:line="240" w:lineRule="auto"/>
        <w:rPr>
          <w:rFonts w:ascii="Times New Roman" w:eastAsia="Times New Roman" w:hAnsi="Times New Roman" w:cs="Times New Roman"/>
          <w:kern w:val="0"/>
          <w14:ligatures w14:val="none"/>
        </w:rPr>
      </w:pPr>
      <w:r w:rsidRPr="002D7384">
        <w:rPr>
          <w:rFonts w:ascii="Times New Roman" w:eastAsia="Times New Roman" w:hAnsi="Times New Roman" w:cs="Times New Roman"/>
          <w:kern w:val="0"/>
          <w14:ligatures w14:val="none"/>
        </w:rPr>
        <w:t xml:space="preserve">The application uses a </w:t>
      </w:r>
      <w:r w:rsidRPr="002D7384">
        <w:rPr>
          <w:rFonts w:ascii="Times New Roman" w:eastAsia="Times New Roman" w:hAnsi="Times New Roman" w:cs="Times New Roman"/>
          <w:b/>
          <w:bCs/>
          <w:kern w:val="0"/>
          <w14:ligatures w14:val="none"/>
        </w:rPr>
        <w:t>transparent rule-based reasoning engine</w:t>
      </w:r>
      <w:r w:rsidRPr="002D7384">
        <w:rPr>
          <w:rFonts w:ascii="Times New Roman" w:eastAsia="Times New Roman" w:hAnsi="Times New Roman" w:cs="Times New Roman"/>
          <w:kern w:val="0"/>
          <w14:ligatures w14:val="none"/>
        </w:rPr>
        <w:t xml:space="preserve"> to provide consistent, explainable results without relying on external AI services, demonstrating how healthcare analytics can support clinical decision-making.</w:t>
      </w:r>
    </w:p>
    <w:p w14:paraId="53F92654" w14:textId="2D53AFDB" w:rsidR="00DB2A90" w:rsidRDefault="00DB2A90" w:rsidP="00DB2A90">
      <w:pPr>
        <w:spacing w:before="100" w:beforeAutospacing="1" w:after="100" w:afterAutospacing="1" w:line="240" w:lineRule="auto"/>
        <w:rPr>
          <w:rFonts w:ascii="Times New Roman" w:eastAsia="Times New Roman" w:hAnsi="Times New Roman" w:cs="Times New Roman"/>
          <w:kern w:val="0"/>
          <w14:ligatures w14:val="none"/>
        </w:rPr>
      </w:pPr>
      <w:r w:rsidRPr="00DB2A90">
        <w:rPr>
          <w:rFonts w:ascii="Times New Roman" w:eastAsia="Times New Roman" w:hAnsi="Times New Roman" w:cs="Times New Roman"/>
          <w:b/>
          <w:bCs/>
          <w:kern w:val="0"/>
          <w14:ligatures w14:val="none"/>
        </w:rPr>
        <w:lastRenderedPageBreak/>
        <w:t>Figure 1.</w:t>
      </w:r>
      <w:r w:rsidRPr="00DB2A90">
        <w:rPr>
          <w:rFonts w:ascii="Times New Roman" w:eastAsia="Times New Roman" w:hAnsi="Times New Roman" w:cs="Times New Roman"/>
          <w:kern w:val="0"/>
          <w14:ligatures w14:val="none"/>
        </w:rPr>
        <w:t xml:space="preserve"> Screenshot of the Cotiviti Clinical Intelligence Platform proof of concept.</w:t>
      </w:r>
    </w:p>
    <w:p w14:paraId="7659BB8F" w14:textId="4F4842A2" w:rsidR="00DB2A90" w:rsidRPr="00DB2A90" w:rsidRDefault="00DB2A90" w:rsidP="002D73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764BFFA" wp14:editId="02624401">
            <wp:extent cx="3352800" cy="1794966"/>
            <wp:effectExtent l="0" t="0" r="0" b="0"/>
            <wp:docPr id="459164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417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4742" cy="1828127"/>
                    </a:xfrm>
                    <a:prstGeom prst="rect">
                      <a:avLst/>
                    </a:prstGeom>
                  </pic:spPr>
                </pic:pic>
              </a:graphicData>
            </a:graphic>
          </wp:inline>
        </w:drawing>
      </w:r>
    </w:p>
    <w:p w14:paraId="6B7D60F8" w14:textId="77777777" w:rsidR="00DB2A90"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DB2A90">
        <w:rPr>
          <w:rFonts w:ascii="Times New Roman" w:eastAsia="Times New Roman" w:hAnsi="Times New Roman" w:cs="Times New Roman"/>
          <w:b/>
          <w:bCs/>
          <w:kern w:val="0"/>
          <w:sz w:val="28"/>
          <w:szCs w:val="28"/>
          <w:u w:val="single"/>
          <w14:ligatures w14:val="none"/>
        </w:rPr>
        <w:t>Strategic Opportunities for Cotiviti</w:t>
      </w:r>
    </w:p>
    <w:p w14:paraId="2F0A2985" w14:textId="77777777" w:rsidR="002D7384" w:rsidRDefault="002D7384" w:rsidP="002D7384">
      <w:pPr>
        <w:spacing w:before="100" w:beforeAutospacing="1" w:after="100" w:afterAutospacing="1" w:line="240" w:lineRule="auto"/>
        <w:ind w:firstLine="720"/>
        <w:outlineLvl w:val="1"/>
      </w:pPr>
      <w:r>
        <w:t xml:space="preserve">This proof of concept shows how a single clinical intelligence platform can support </w:t>
      </w:r>
      <w:r>
        <w:rPr>
          <w:rStyle w:val="Strong"/>
        </w:rPr>
        <w:t>Treatment, Payment, and Operations (TPO)</w:t>
      </w:r>
      <w:r>
        <w:t xml:space="preserve"> in one system. It combines clinical risk assessment, documentation review, payment integrity, and operational recommendations to improve efficiency and reduce manual work. For Cotiviti, similar technologies could help identify documentation gaps, prioritize high-risk cases, improve communication, and integrate future features such as electronic health records, predictive analytics, multilingual support, and large language models while maintaining patient privacy and regulatory compliance.</w:t>
      </w:r>
    </w:p>
    <w:p w14:paraId="5272C3A8" w14:textId="49A3E161" w:rsidR="002D7384" w:rsidRPr="00DB2A90" w:rsidRDefault="00DB2A90" w:rsidP="00DB2A90">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DB2A90">
        <w:rPr>
          <w:rFonts w:ascii="Times New Roman" w:eastAsia="Times New Roman" w:hAnsi="Times New Roman" w:cs="Times New Roman"/>
          <w:b/>
          <w:bCs/>
          <w:kern w:val="0"/>
          <w:sz w:val="28"/>
          <w:szCs w:val="28"/>
          <w:u w:val="single"/>
          <w14:ligatures w14:val="none"/>
        </w:rPr>
        <w:t>Conclusio</w:t>
      </w:r>
      <w:r w:rsidR="002D7384" w:rsidRPr="002D7384">
        <w:rPr>
          <w:rFonts w:ascii="Times New Roman" w:eastAsia="Times New Roman" w:hAnsi="Times New Roman" w:cs="Times New Roman"/>
          <w:b/>
          <w:bCs/>
          <w:kern w:val="0"/>
          <w:sz w:val="28"/>
          <w:szCs w:val="28"/>
          <w:u w:val="single"/>
          <w14:ligatures w14:val="none"/>
        </w:rPr>
        <w:t>n</w:t>
      </w:r>
    </w:p>
    <w:p w14:paraId="3FA0C9CC" w14:textId="2B89228A" w:rsidR="00DB2A90" w:rsidRPr="00DB2A90" w:rsidRDefault="002D7384" w:rsidP="002D7384">
      <w:pPr>
        <w:pStyle w:val="NormalWeb"/>
        <w:ind w:firstLine="720"/>
      </w:pPr>
      <w:r>
        <w:t xml:space="preserve">Artificial intelligence is improving healthcare by helping organize, review, and analyze clinical information. Transparent clinical decision support systems remain valuable because they provide clear and consistent recommendations that healthcare professionals can understand and verify. The proof-of-concept application developed for this project demonstrates how software engineering and healthcare analytics can improve clinical review, documentation quality, payment integrity, and healthcare operations. As healthcare becomes more data-driven, these technologies </w:t>
      </w:r>
    </w:p>
    <w:p w14:paraId="166A61E4" w14:textId="77777777" w:rsidR="00DB2A90" w:rsidRPr="00DB2A90" w:rsidRDefault="00DB2A90" w:rsidP="00DB2A90">
      <w:pPr>
        <w:spacing w:before="100" w:beforeAutospacing="1" w:after="100" w:afterAutospacing="1" w:line="240" w:lineRule="auto"/>
        <w:outlineLvl w:val="0"/>
        <w:rPr>
          <w:rFonts w:ascii="Times New Roman" w:eastAsia="Times New Roman" w:hAnsi="Times New Roman" w:cs="Times New Roman"/>
          <w:b/>
          <w:bCs/>
          <w:kern w:val="36"/>
          <w:sz w:val="28"/>
          <w:szCs w:val="28"/>
          <w:u w:val="single"/>
          <w14:ligatures w14:val="none"/>
        </w:rPr>
      </w:pPr>
      <w:r w:rsidRPr="00DB2A90">
        <w:rPr>
          <w:rFonts w:ascii="Times New Roman" w:eastAsia="Times New Roman" w:hAnsi="Times New Roman" w:cs="Times New Roman"/>
          <w:b/>
          <w:bCs/>
          <w:kern w:val="36"/>
          <w:sz w:val="28"/>
          <w:szCs w:val="28"/>
          <w:u w:val="single"/>
          <w14:ligatures w14:val="none"/>
        </w:rPr>
        <w:t>References</w:t>
      </w:r>
    </w:p>
    <w:p w14:paraId="0A3A25F3" w14:textId="77777777" w:rsidR="00DB2A90" w:rsidRPr="00DB2A90" w:rsidRDefault="00DB2A90" w:rsidP="00DB2A90">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B2A90">
        <w:rPr>
          <w:rFonts w:ascii="Times New Roman" w:eastAsia="Times New Roman" w:hAnsi="Times New Roman" w:cs="Times New Roman"/>
          <w:kern w:val="0"/>
          <w:sz w:val="22"/>
          <w:szCs w:val="22"/>
          <w14:ligatures w14:val="none"/>
        </w:rPr>
        <w:t xml:space="preserve">American Medical Association. (2024). </w:t>
      </w:r>
      <w:r w:rsidRPr="00DB2A90">
        <w:rPr>
          <w:rFonts w:ascii="Times New Roman" w:eastAsia="Times New Roman" w:hAnsi="Times New Roman" w:cs="Times New Roman"/>
          <w:i/>
          <w:iCs/>
          <w:kern w:val="0"/>
          <w:sz w:val="22"/>
          <w:szCs w:val="22"/>
          <w14:ligatures w14:val="none"/>
        </w:rPr>
        <w:t>Current Procedural Terminology (CPT®).</w:t>
      </w:r>
      <w:r w:rsidRPr="00DB2A90">
        <w:rPr>
          <w:rFonts w:ascii="Times New Roman" w:eastAsia="Times New Roman" w:hAnsi="Times New Roman" w:cs="Times New Roman"/>
          <w:kern w:val="0"/>
          <w:sz w:val="22"/>
          <w:szCs w:val="22"/>
          <w14:ligatures w14:val="none"/>
        </w:rPr>
        <w:t xml:space="preserve"> </w:t>
      </w:r>
      <w:hyperlink r:id="rId6" w:tgtFrame="_new" w:history="1">
        <w:r w:rsidRPr="00DB2A90">
          <w:rPr>
            <w:rFonts w:ascii="Times New Roman" w:eastAsia="Times New Roman" w:hAnsi="Times New Roman" w:cs="Times New Roman"/>
            <w:color w:val="0000FF"/>
            <w:kern w:val="0"/>
            <w:sz w:val="22"/>
            <w:szCs w:val="22"/>
            <w:u w:val="single"/>
            <w14:ligatures w14:val="none"/>
          </w:rPr>
          <w:t>https://www.ama-assn.org/</w:t>
        </w:r>
      </w:hyperlink>
    </w:p>
    <w:p w14:paraId="73CE7EA4" w14:textId="77777777" w:rsidR="00DB2A90" w:rsidRPr="00DB2A90" w:rsidRDefault="00DB2A90" w:rsidP="00DB2A90">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B2A90">
        <w:rPr>
          <w:rFonts w:ascii="Times New Roman" w:eastAsia="Times New Roman" w:hAnsi="Times New Roman" w:cs="Times New Roman"/>
          <w:kern w:val="0"/>
          <w:sz w:val="22"/>
          <w:szCs w:val="22"/>
          <w14:ligatures w14:val="none"/>
        </w:rPr>
        <w:t xml:space="preserve">Centers for Medicare &amp; Medicaid Services. (2024). </w:t>
      </w:r>
      <w:r w:rsidRPr="00DB2A90">
        <w:rPr>
          <w:rFonts w:ascii="Times New Roman" w:eastAsia="Times New Roman" w:hAnsi="Times New Roman" w:cs="Times New Roman"/>
          <w:i/>
          <w:iCs/>
          <w:kern w:val="0"/>
          <w:sz w:val="22"/>
          <w:szCs w:val="22"/>
          <w14:ligatures w14:val="none"/>
        </w:rPr>
        <w:t>Medical review and documentation requirements.</w:t>
      </w:r>
      <w:r w:rsidRPr="00DB2A90">
        <w:rPr>
          <w:rFonts w:ascii="Times New Roman" w:eastAsia="Times New Roman" w:hAnsi="Times New Roman" w:cs="Times New Roman"/>
          <w:kern w:val="0"/>
          <w:sz w:val="22"/>
          <w:szCs w:val="22"/>
          <w14:ligatures w14:val="none"/>
        </w:rPr>
        <w:t xml:space="preserve"> </w:t>
      </w:r>
      <w:hyperlink r:id="rId7" w:tgtFrame="_new" w:history="1">
        <w:r w:rsidRPr="00DB2A90">
          <w:rPr>
            <w:rFonts w:ascii="Times New Roman" w:eastAsia="Times New Roman" w:hAnsi="Times New Roman" w:cs="Times New Roman"/>
            <w:color w:val="0000FF"/>
            <w:kern w:val="0"/>
            <w:sz w:val="22"/>
            <w:szCs w:val="22"/>
            <w:u w:val="single"/>
            <w14:ligatures w14:val="none"/>
          </w:rPr>
          <w:t>https://www.cms.gov/</w:t>
        </w:r>
      </w:hyperlink>
    </w:p>
    <w:p w14:paraId="53DD4F97" w14:textId="77777777" w:rsidR="00DB2A90" w:rsidRPr="00DB2A90" w:rsidRDefault="00DB2A90" w:rsidP="00DB2A90">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B2A90">
        <w:rPr>
          <w:rFonts w:ascii="Times New Roman" w:eastAsia="Times New Roman" w:hAnsi="Times New Roman" w:cs="Times New Roman"/>
          <w:kern w:val="0"/>
          <w:sz w:val="22"/>
          <w:szCs w:val="22"/>
          <w14:ligatures w14:val="none"/>
        </w:rPr>
        <w:t xml:space="preserve">HealthIT.gov. (2024). </w:t>
      </w:r>
      <w:r w:rsidRPr="00DB2A90">
        <w:rPr>
          <w:rFonts w:ascii="Times New Roman" w:eastAsia="Times New Roman" w:hAnsi="Times New Roman" w:cs="Times New Roman"/>
          <w:i/>
          <w:iCs/>
          <w:kern w:val="0"/>
          <w:sz w:val="22"/>
          <w:szCs w:val="22"/>
          <w14:ligatures w14:val="none"/>
        </w:rPr>
        <w:t>Clinical decision support.</w:t>
      </w:r>
      <w:r w:rsidRPr="00DB2A90">
        <w:rPr>
          <w:rFonts w:ascii="Times New Roman" w:eastAsia="Times New Roman" w:hAnsi="Times New Roman" w:cs="Times New Roman"/>
          <w:kern w:val="0"/>
          <w:sz w:val="22"/>
          <w:szCs w:val="22"/>
          <w14:ligatures w14:val="none"/>
        </w:rPr>
        <w:t xml:space="preserve"> </w:t>
      </w:r>
      <w:hyperlink r:id="rId8" w:tgtFrame="_new" w:history="1">
        <w:r w:rsidRPr="00DB2A90">
          <w:rPr>
            <w:rFonts w:ascii="Times New Roman" w:eastAsia="Times New Roman" w:hAnsi="Times New Roman" w:cs="Times New Roman"/>
            <w:color w:val="0000FF"/>
            <w:kern w:val="0"/>
            <w:sz w:val="22"/>
            <w:szCs w:val="22"/>
            <w:u w:val="single"/>
            <w14:ligatures w14:val="none"/>
          </w:rPr>
          <w:t>https://www.healthit.gov/</w:t>
        </w:r>
      </w:hyperlink>
    </w:p>
    <w:p w14:paraId="6C4330FD" w14:textId="77777777" w:rsidR="00DB2A90" w:rsidRPr="00DB2A90" w:rsidRDefault="00DB2A90" w:rsidP="00DB2A90">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B2A90">
        <w:rPr>
          <w:rFonts w:ascii="Times New Roman" w:eastAsia="Times New Roman" w:hAnsi="Times New Roman" w:cs="Times New Roman"/>
          <w:kern w:val="0"/>
          <w:sz w:val="22"/>
          <w:szCs w:val="22"/>
          <w14:ligatures w14:val="none"/>
        </w:rPr>
        <w:t xml:space="preserve">World Health Organization. (2021). </w:t>
      </w:r>
      <w:r w:rsidRPr="00DB2A90">
        <w:rPr>
          <w:rFonts w:ascii="Times New Roman" w:eastAsia="Times New Roman" w:hAnsi="Times New Roman" w:cs="Times New Roman"/>
          <w:i/>
          <w:iCs/>
          <w:kern w:val="0"/>
          <w:sz w:val="22"/>
          <w:szCs w:val="22"/>
          <w14:ligatures w14:val="none"/>
        </w:rPr>
        <w:t>Ethics and governance of artificial intelligence for health.</w:t>
      </w:r>
      <w:r w:rsidRPr="00DB2A90">
        <w:rPr>
          <w:rFonts w:ascii="Times New Roman" w:eastAsia="Times New Roman" w:hAnsi="Times New Roman" w:cs="Times New Roman"/>
          <w:kern w:val="0"/>
          <w:sz w:val="22"/>
          <w:szCs w:val="22"/>
          <w14:ligatures w14:val="none"/>
        </w:rPr>
        <w:t xml:space="preserve"> </w:t>
      </w:r>
      <w:hyperlink r:id="rId9" w:tgtFrame="_new" w:history="1">
        <w:r w:rsidRPr="00DB2A90">
          <w:rPr>
            <w:rFonts w:ascii="Times New Roman" w:eastAsia="Times New Roman" w:hAnsi="Times New Roman" w:cs="Times New Roman"/>
            <w:color w:val="0000FF"/>
            <w:kern w:val="0"/>
            <w:sz w:val="22"/>
            <w:szCs w:val="22"/>
            <w:u w:val="single"/>
            <w14:ligatures w14:val="none"/>
          </w:rPr>
          <w:t>https://www.who.int/publications/i/item/9789240029200</w:t>
        </w:r>
      </w:hyperlink>
    </w:p>
    <w:p w14:paraId="441AD628" w14:textId="77777777" w:rsidR="006E4103" w:rsidRPr="002D7384" w:rsidRDefault="006E4103" w:rsidP="00DB2A90">
      <w:pPr>
        <w:rPr>
          <w:sz w:val="22"/>
          <w:szCs w:val="22"/>
        </w:rPr>
      </w:pPr>
    </w:p>
    <w:sectPr w:rsidR="006E4103" w:rsidRPr="002D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4521D"/>
    <w:multiLevelType w:val="multilevel"/>
    <w:tmpl w:val="F21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776C7"/>
    <w:multiLevelType w:val="multilevel"/>
    <w:tmpl w:val="3B3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71297"/>
    <w:multiLevelType w:val="multilevel"/>
    <w:tmpl w:val="A7C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246852">
    <w:abstractNumId w:val="1"/>
  </w:num>
  <w:num w:numId="2" w16cid:durableId="2142188755">
    <w:abstractNumId w:val="2"/>
  </w:num>
  <w:num w:numId="3" w16cid:durableId="127798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90"/>
    <w:rsid w:val="002D7384"/>
    <w:rsid w:val="00390502"/>
    <w:rsid w:val="006E4103"/>
    <w:rsid w:val="0072708F"/>
    <w:rsid w:val="008C09A6"/>
    <w:rsid w:val="00DB2A90"/>
    <w:rsid w:val="00E576D7"/>
    <w:rsid w:val="00EA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CD9D"/>
  <w15:chartTrackingRefBased/>
  <w15:docId w15:val="{9D4E774F-842B-0244-9C9E-C20B65B7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2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2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90"/>
    <w:rPr>
      <w:rFonts w:eastAsiaTheme="majorEastAsia" w:cstheme="majorBidi"/>
      <w:color w:val="272727" w:themeColor="text1" w:themeTint="D8"/>
    </w:rPr>
  </w:style>
  <w:style w:type="paragraph" w:styleId="Title">
    <w:name w:val="Title"/>
    <w:basedOn w:val="Normal"/>
    <w:next w:val="Normal"/>
    <w:link w:val="TitleChar"/>
    <w:uiPriority w:val="10"/>
    <w:qFormat/>
    <w:rsid w:val="00DB2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90"/>
    <w:pPr>
      <w:spacing w:before="160"/>
      <w:jc w:val="center"/>
    </w:pPr>
    <w:rPr>
      <w:i/>
      <w:iCs/>
      <w:color w:val="404040" w:themeColor="text1" w:themeTint="BF"/>
    </w:rPr>
  </w:style>
  <w:style w:type="character" w:customStyle="1" w:styleId="QuoteChar">
    <w:name w:val="Quote Char"/>
    <w:basedOn w:val="DefaultParagraphFont"/>
    <w:link w:val="Quote"/>
    <w:uiPriority w:val="29"/>
    <w:rsid w:val="00DB2A90"/>
    <w:rPr>
      <w:i/>
      <w:iCs/>
      <w:color w:val="404040" w:themeColor="text1" w:themeTint="BF"/>
    </w:rPr>
  </w:style>
  <w:style w:type="paragraph" w:styleId="ListParagraph">
    <w:name w:val="List Paragraph"/>
    <w:basedOn w:val="Normal"/>
    <w:uiPriority w:val="34"/>
    <w:qFormat/>
    <w:rsid w:val="00DB2A90"/>
    <w:pPr>
      <w:ind w:left="720"/>
      <w:contextualSpacing/>
    </w:pPr>
  </w:style>
  <w:style w:type="character" w:styleId="IntenseEmphasis">
    <w:name w:val="Intense Emphasis"/>
    <w:basedOn w:val="DefaultParagraphFont"/>
    <w:uiPriority w:val="21"/>
    <w:qFormat/>
    <w:rsid w:val="00DB2A90"/>
    <w:rPr>
      <w:i/>
      <w:iCs/>
      <w:color w:val="0F4761" w:themeColor="accent1" w:themeShade="BF"/>
    </w:rPr>
  </w:style>
  <w:style w:type="paragraph" w:styleId="IntenseQuote">
    <w:name w:val="Intense Quote"/>
    <w:basedOn w:val="Normal"/>
    <w:next w:val="Normal"/>
    <w:link w:val="IntenseQuoteChar"/>
    <w:uiPriority w:val="30"/>
    <w:qFormat/>
    <w:rsid w:val="00DB2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A90"/>
    <w:rPr>
      <w:i/>
      <w:iCs/>
      <w:color w:val="0F4761" w:themeColor="accent1" w:themeShade="BF"/>
    </w:rPr>
  </w:style>
  <w:style w:type="character" w:styleId="IntenseReference">
    <w:name w:val="Intense Reference"/>
    <w:basedOn w:val="DefaultParagraphFont"/>
    <w:uiPriority w:val="32"/>
    <w:qFormat/>
    <w:rsid w:val="00DB2A90"/>
    <w:rPr>
      <w:b/>
      <w:bCs/>
      <w:smallCaps/>
      <w:color w:val="0F4761" w:themeColor="accent1" w:themeShade="BF"/>
      <w:spacing w:val="5"/>
    </w:rPr>
  </w:style>
  <w:style w:type="paragraph" w:styleId="NormalWeb">
    <w:name w:val="Normal (Web)"/>
    <w:basedOn w:val="Normal"/>
    <w:uiPriority w:val="99"/>
    <w:unhideWhenUsed/>
    <w:rsid w:val="00DB2A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2A90"/>
    <w:rPr>
      <w:b/>
      <w:bCs/>
    </w:rPr>
  </w:style>
  <w:style w:type="character" w:styleId="Emphasis">
    <w:name w:val="Emphasis"/>
    <w:basedOn w:val="DefaultParagraphFont"/>
    <w:uiPriority w:val="20"/>
    <w:qFormat/>
    <w:rsid w:val="00DB2A90"/>
    <w:rPr>
      <w:i/>
      <w:iCs/>
    </w:rPr>
  </w:style>
  <w:style w:type="character" w:styleId="Hyperlink">
    <w:name w:val="Hyperlink"/>
    <w:basedOn w:val="DefaultParagraphFont"/>
    <w:uiPriority w:val="99"/>
    <w:semiHidden/>
    <w:unhideWhenUsed/>
    <w:rsid w:val="00DB2A90"/>
    <w:rPr>
      <w:color w:val="0000FF"/>
      <w:u w:val="single"/>
    </w:rPr>
  </w:style>
  <w:style w:type="paragraph" w:customStyle="1" w:styleId="pdq2pgselectionanchorcontainer">
    <w:name w:val="pdq2pg_selectionanchorcontainer"/>
    <w:basedOn w:val="Normal"/>
    <w:rsid w:val="002D73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it.gov/" TargetMode="External"/><Relationship Id="rId3" Type="http://schemas.openxmlformats.org/officeDocument/2006/relationships/settings" Target="settings.xml"/><Relationship Id="rId7" Type="http://schemas.openxmlformats.org/officeDocument/2006/relationships/hyperlink" Target="https://www.cm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assn.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publications/i/item/978924002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Misgana Okbagaber</dc:creator>
  <cp:keywords/>
  <dc:description/>
  <cp:lastModifiedBy>Misgana Okbagaber</cp:lastModifiedBy>
  <cp:revision>1</cp:revision>
  <cp:lastPrinted>2026-07-23T06:44:00Z</cp:lastPrinted>
  <dcterms:created xsi:type="dcterms:W3CDTF">2026-06-30T02:00:00Z</dcterms:created>
  <dcterms:modified xsi:type="dcterms:W3CDTF">2026-07-24T05:44:00Z</dcterms:modified>
</cp:coreProperties>
</file>