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 الطويل لاختبار المراسلات الإدارية وطلبات المشتريات والمراجعة الداخلية»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 ومراجعة المعلومات المتاحة وتحديد الوثائق الداعمة للمشتريات والتقييم الداخلي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2BAD5CFB-6B7F-4447-8E94-229D434D2F3D}" w:subsetted="false"/>
  </w:font>
  <w:font w:name="Jost">
    <w:embedRegular r:id="rIdJostRegular" w:fontKey="{1D39DA84-5475-4FE6-80D2-B4314DADADFA}" w:subsetted="false"/>
  </w:font>
  <w:font w:name="Noto Sans Arabic">
    <w:embedRegular r:id="rIdNotoSansArabicRegular" w:fontKey="{E6610DBA-E0E0-4B79-B624-34C67B1C933E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QA_ar_long_fields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