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 الطويل لاختبار المراسلات الإدارية وطلبات المشتريات والمراجعة الداخلية»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 ومراجعة المعلومات المتاحة وتحديد الوثائق الداعمة للمشتريات والتقييم الداخلي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 and clarification of available supporting evidence for procurement review and subsequent internal assessment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5B3BFC3-2647-4257-BF90-0C16D3D50652}" w:subsetted="false"/>
  </w:font>
  <w:font w:name="Jost">
    <w:embedRegular r:id="rIdJostRegular" w:fontKey="{34074441-6823-4F8C-B95B-5A3879F22641}" w:subsetted="false"/>
  </w:font>
  <w:font w:name="Noto Sans Arabic">
    <w:embedRegular r:id="rIdNotoSansArabicRegular" w:fontKey="{FD058BA3-4E95-4141-82E8-F61300D67DA6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QA_bi_long_fields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