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[LONG RECIPIENT ORGANIZATION NAME FOR PROCUREMENT AND ADMINISTRATIVE CORRESPONDENCE]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 and clarification of available supporting evidence for procurement review and subsequent internal assessment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736CBA19-E5E1-42BB-A38D-23A25A8E15D0}" w:subsetted="false"/>
  </w:font>
  <w:font w:name="Jost">
    <w:embedRegular r:id="rIdJostRegular" w:fontKey="{731DE54D-C4D5-4E84-A169-33A6A8BB886B}" w:subsetted="false"/>
  </w:font>
  <w:font w:name="Noto Sans Arabic">
    <w:embedRegular r:id="rIdNotoSansArabicRegular" w:fontKey="{29B5B6DF-0C50-41DD-8645-BCD2CE58596E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QA_en_long_fields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