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7"/>
          <w:lang w:val="en-GB" w:bidi="en-GB"/>
          <w:rtl w:val="0"/>
          <w:szCs w:val="17"/>
          <w:bCs w:val="0"/>
        </w:rPr>
        <w:t>Date: [DATE]    Reference: 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Formal correspondence regarding the proposed review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request your review of the accompanying information before a formal response is prepared. Please identify any points that need clarification and the appropriate person to coordinate the review.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This letter is sample administrative correspondence. It records no decision, obligation, approval or contractual commitment.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204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B536EA4A-17A8-4049-98B9-3D2FFC98248C}" w:subsetted="false"/>
  </w:font>
  <w:font w:name="Jost">
    <w:embedRegular r:id="rIdJostRegular" w:fontKey="{087BCC09-45F6-486A-BDC9-D3DF55711D82}" w:subsetted="false"/>
  </w:font>
  <w:font w:name="Noto Sans Arabic">
    <w:embedRegular r:id="rIdNotoSansArabicRegular" w:fontKey="{98EE8DE3-82CA-40D0-AFB0-6E171661F7C9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296000" cy="420820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420820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lef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GEM_Letterhead_Executive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