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«نص الصفحة التالية»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توضيحي فقط، ولا يُنشئ التزاماً تجارياً ولا يؤكد وجود علاقة توريد.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فائق الاحترام والتقدير،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FCD26E1-EDF3-4CD2-84C9-904E2698EF21}" w:subsetted="false"/>
  </w:font>
  <w:font w:name="Jost">
    <w:embedRegular r:id="rIdJostRegular" w:fontKey="{73D53829-FD52-425D-9DE8-8567719EE8A8}" w:subsetted="false"/>
  </w:font>
  <w:font w:name="Noto Sans Arabic">
    <w:embedRegular r:id="rIdNotoSansArabicRegular" w:fontKey="{56F862CB-8AAB-43A1-9874-6CA7893E9CD6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Arabic Continuation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