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center"/>
        <w:rPr>
          <w:rFonts w:ascii="Times New Roman" w:cs="Times New Roman" w:eastAsia="Times New Roman" w:hAnsi="Times New Roman"/>
          <w:b w:val="1"/>
          <w:i w:val="0"/>
          <w:smallCaps w:val="0"/>
          <w:strike w:val="0"/>
          <w:color w:val="000000"/>
          <w:sz w:val="28"/>
          <w:szCs w:val="28"/>
          <w:u w:val="none"/>
          <w:vertAlign w:val="baseline"/>
        </w:rPr>
      </w:pPr>
      <w:r w:rsidDel="00000000" w:rsidR="00000000" w:rsidRPr="00000000">
        <w:rPr>
          <w:rFonts w:ascii="Times New Roman" w:cs="Times New Roman" w:eastAsia="Times New Roman" w:hAnsi="Times New Roman"/>
          <w:b w:val="1"/>
          <w:sz w:val="28"/>
          <w:szCs w:val="28"/>
          <w:rtl w:val="0"/>
        </w:rPr>
        <w:t xml:space="preserve">{companyName}</w:t>
      </w:r>
      <w:r w:rsidDel="00000000" w:rsidR="00000000" w:rsidRPr="00000000">
        <w:rPr>
          <w:rFonts w:ascii="Times New Roman" w:cs="Times New Roman" w:eastAsia="Times New Roman" w:hAnsi="Times New Roman"/>
          <w:b w:val="1"/>
          <w:i w:val="0"/>
          <w:smallCaps w:val="0"/>
          <w:strike w:val="0"/>
          <w:color w:val="000000"/>
          <w:sz w:val="28"/>
          <w:szCs w:val="28"/>
          <w:u w:val="none"/>
          <w:vertAlign w:val="baseline"/>
          <w:rtl w:val="0"/>
        </w:rPr>
        <w:t xml:space="preserve">, INC.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center"/>
        <w:rPr>
          <w:rFonts w:ascii="Times New Roman" w:cs="Times New Roman" w:eastAsia="Times New Roman" w:hAnsi="Times New Roman"/>
          <w:b w:val="1"/>
          <w:i w:val="0"/>
          <w:smallCaps w:val="0"/>
          <w:strike w:val="0"/>
          <w:color w:val="000000"/>
          <w:sz w:val="28"/>
          <w:szCs w:val="28"/>
          <w:u w:val="none"/>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vertAlign w:val="baseline"/>
          <w:rtl w:val="0"/>
        </w:rPr>
        <w:t xml:space="preserve">SAFE TERM SHEET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72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This is a summary of the principal terms of a SAFE financing (the "</w:t>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Financing</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of </w:t>
      </w:r>
      <w:r w:rsidDel="00000000" w:rsidR="00000000" w:rsidRPr="00000000">
        <w:rPr>
          <w:rFonts w:ascii="Times New Roman" w:cs="Times New Roman" w:eastAsia="Times New Roman" w:hAnsi="Times New Roman"/>
          <w:sz w:val="24"/>
          <w:szCs w:val="24"/>
          <w:rtl w:val="0"/>
        </w:rPr>
        <w:t xml:space="preserve">{companyName}</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Inc. This term sheet is for discussion purposes only and is not intended to be construed as a binding agreement. The parties do not intend to be bound until they enter into definitive agreements regarding the subject matter of this term sheet.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vertAlign w:val="baseline"/>
          <w:rtl w:val="0"/>
        </w:rPr>
        <w:t xml:space="preserve">Offering Terms</w:t>
      </w:r>
      <w:r w:rsidDel="00000000" w:rsidR="00000000" w:rsidRPr="00000000">
        <w:rPr>
          <w:rtl w:val="0"/>
        </w:rPr>
      </w:r>
    </w:p>
    <w:tbl>
      <w:tblPr>
        <w:tblStyle w:val="Table1"/>
        <w:tblW w:w="92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47"/>
        <w:gridCol w:w="7406"/>
        <w:tblGridChange w:id="0">
          <w:tblGrid>
            <w:gridCol w:w="1847"/>
            <w:gridCol w:w="7406"/>
          </w:tblGrid>
        </w:tblGridChange>
      </w:tblGrid>
      <w:tr>
        <w:trPr>
          <w:cantSplit w:val="0"/>
          <w:tblHeader w:val="0"/>
        </w:trPr>
        <w:tc>
          <w:tcPr>
            <w:shd w:fill="auto" w:val="clea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Issuer</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p>
        </w:tc>
        <w:tc>
          <w:tcPr>
            <w:shd w:fill="auto" w:val="clea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sz w:val="24"/>
                <w:szCs w:val="24"/>
                <w:rtl w:val="0"/>
              </w:rPr>
              <w:t xml:space="preserve">{companyName}</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Inc., a </w:t>
            </w:r>
            <w:r w:rsidDel="00000000" w:rsidR="00000000" w:rsidRPr="00000000">
              <w:rPr>
                <w:rFonts w:ascii="Times New Roman" w:cs="Times New Roman" w:eastAsia="Times New Roman" w:hAnsi="Times New Roman"/>
                <w:sz w:val="24"/>
                <w:szCs w:val="24"/>
                <w:rtl w:val="0"/>
              </w:rPr>
              <w:t xml:space="preserve">{stateOfIncorporation}</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corporation (the "</w:t>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Company</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p>
        </w:tc>
      </w:tr>
      <w:tr>
        <w:trPr>
          <w:cantSplit w:val="0"/>
          <w:tblHeader w:val="0"/>
        </w:trPr>
        <w:tc>
          <w:tcPr>
            <w:shd w:fill="auto" w:val="clea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Security</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r w:rsidDel="00000000" w:rsidR="00000000" w:rsidRPr="00000000">
              <w:rPr>
                <w:rtl w:val="0"/>
              </w:rPr>
            </w:r>
          </w:p>
        </w:tc>
        <w:tc>
          <w:tcPr>
            <w:shd w:fill="auto" w:val="clea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Simple agreements for future equity (each, a "SAFE," and collectively, the "SAFEs").</w:t>
            </w:r>
          </w:p>
        </w:tc>
      </w:tr>
      <w:tr>
        <w:trPr>
          <w:cantSplit w:val="0"/>
          <w:tblHeader w:val="0"/>
        </w:trPr>
        <w:tc>
          <w:tcPr>
            <w:shd w:fill="auto" w:val="clea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Purchasers</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r w:rsidDel="00000000" w:rsidR="00000000" w:rsidRPr="00000000">
              <w:rPr>
                <w:rtl w:val="0"/>
              </w:rPr>
            </w:r>
          </w:p>
        </w:tc>
        <w:tc>
          <w:tcPr>
            <w:shd w:fill="auto" w:val="clea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Investors selected by the Company in its sole discretion (each, a "Purchaser," and collectively, the "Purchasers").</w:t>
            </w:r>
          </w:p>
        </w:tc>
      </w:tr>
      <w:tr>
        <w:trPr>
          <w:cantSplit w:val="0"/>
          <w:tblHeader w:val="0"/>
        </w:trPr>
        <w:tc>
          <w:tcPr>
            <w:shd w:fill="auto" w:val="clea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sz w:val="24"/>
                <w:szCs w:val="24"/>
                <w:rtl w:val="0"/>
              </w:rPr>
              <w:t xml:space="preserve">{#hasGoalAmount}Goal </w:t>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Amount</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p>
        </w:tc>
        <w:tc>
          <w:tcPr>
            <w:shd w:fill="auto" w:val="cle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Up to US$ </w:t>
            </w:r>
            <w:r w:rsidDel="00000000" w:rsidR="00000000" w:rsidRPr="00000000">
              <w:rPr>
                <w:rFonts w:ascii="Times New Roman" w:cs="Times New Roman" w:eastAsia="Times New Roman" w:hAnsi="Times New Roman"/>
                <w:sz w:val="24"/>
                <w:szCs w:val="24"/>
                <w:rtl w:val="0"/>
              </w:rPr>
              <w:t xml:space="preserve">{goalAmount}</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1"/>
                <w:sz w:val="24"/>
                <w:szCs w:val="24"/>
                <w:rtl w:val="0"/>
              </w:rPr>
              <w:t xml:space="preserve">{/hasGoalAmount}</w:t>
            </w:r>
            <w:r w:rsidDel="00000000" w:rsidR="00000000" w:rsidRPr="00000000">
              <w:rPr>
                <w:rtl w:val="0"/>
              </w:rPr>
            </w:r>
          </w:p>
        </w:tc>
      </w:tr>
    </w:tbl>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singl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vertAlign w:val="baseline"/>
          <w:rtl w:val="0"/>
        </w:rPr>
        <w:t xml:space="preserve">SAFE Terms</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w:t>
      </w:r>
      <w:r w:rsidDel="00000000" w:rsidR="00000000" w:rsidRPr="00000000">
        <w:rPr>
          <w:rtl w:val="0"/>
        </w:rPr>
      </w:r>
    </w:p>
    <w:tbl>
      <w:tblPr>
        <w:tblStyle w:val="Table2"/>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90"/>
        <w:gridCol w:w="7380"/>
        <w:tblGridChange w:id="0">
          <w:tblGrid>
            <w:gridCol w:w="1890"/>
            <w:gridCol w:w="7380"/>
          </w:tblGrid>
        </w:tblGridChange>
      </w:tblGrid>
      <w:tr>
        <w:trPr>
          <w:cantSplit w:val="0"/>
          <w:tblHeader w:val="0"/>
        </w:trPr>
        <w:tc>
          <w:tcPr>
            <w:shd w:fill="auto" w:val="clea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Conversion Events</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r w:rsidDel="00000000" w:rsidR="00000000" w:rsidRPr="00000000">
              <w:rPr>
                <w:rtl w:val="0"/>
              </w:rPr>
            </w:r>
          </w:p>
        </w:tc>
        <w:tc>
          <w:tcPr>
            <w:shd w:fill="auto" w:val="clea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Each SAFE will convert:</w:t>
            </w:r>
          </w:p>
        </w:tc>
      </w:tr>
      <w:tr>
        <w:trPr>
          <w:cantSplit w:val="0"/>
          <w:tblHeader w:val="0"/>
        </w:trPr>
        <w:tc>
          <w:tcPr>
            <w:shd w:fill="auto" w:val="clea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240" w:before="120" w:line="259"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tc>
        <w:tc>
          <w:tcPr>
            <w:shd w:fill="auto" w:val="cle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72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(i)  automatically, upon the Company's issuance of equity securities (the "</w:t>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Next Equity Financing</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in a single transaction, or series of related transactions, with aggregate gross proceeds to the Company of at least US$</w:t>
            </w:r>
            <w:r w:rsidDel="00000000" w:rsidR="00000000" w:rsidRPr="00000000">
              <w:rPr>
                <w:rFonts w:ascii="Times New Roman" w:cs="Times New Roman" w:eastAsia="Times New Roman" w:hAnsi="Times New Roman"/>
                <w:sz w:val="24"/>
                <w:szCs w:val="24"/>
                <w:rtl w:val="0"/>
              </w:rPr>
              <w:t xml:space="preserve">{valuationCap}</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excluding proceeds from the issuance of any simple agreements for future equity (including the SAFEs) or convertible debt, into (a) shares of the Company's capital stock issued to investors in the Next Equity Financing or (b) in the event the Company issues preferred stock with a liquidation preference in the Next Equity Financing, at the Company's election, shares of a shadow series of preferred stock substantially the same as the series of preferred stock issued in the Next Equity Financing, except that the per share liquidation preference of the shadow series will be equal to the conversion price of the SAFEs (a "</w:t>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Next Equity Financing Conversion</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and</w:t>
            </w:r>
          </w:p>
        </w:tc>
      </w:tr>
      <w:tr>
        <w:trPr>
          <w:cantSplit w:val="0"/>
          <w:tblHeader w:val="0"/>
        </w:trPr>
        <w:tc>
          <w:tcPr>
            <w:shd w:fill="auto" w:val="clea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240" w:before="120" w:line="259"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tc>
        <w:tc>
          <w:tcPr>
            <w:shd w:fill="auto" w:val="clea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72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(ii)  at the Purchaser's option, in the event of a Corporate Transaction (as defined below) while such SAFE remains outstanding, into shares of the Company's common stock (a "</w:t>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Corporate Transaction Conversion</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p>
        </w:tc>
      </w:tr>
      <w:tr>
        <w:trPr>
          <w:cantSplit w:val="0"/>
          <w:tblHeader w:val="0"/>
        </w:trPr>
        <w:tc>
          <w:tcPr>
            <w:shd w:fill="auto" w:val="clea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tc>
        <w:tc>
          <w:tcPr>
            <w:shd w:fill="auto" w:val="clea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Securities issued pursuant to the conversion of SAFEs will be referred to herein as "Conversion Shares."</w:t>
            </w:r>
          </w:p>
        </w:tc>
      </w:tr>
      <w:tr>
        <w:trPr>
          <w:cantSplit w:val="0"/>
          <w:tblHeader w:val="0"/>
        </w:trPr>
        <w:tc>
          <w:tcPr>
            <w:shd w:fill="auto" w:val="clea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Conversion Price</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p>
        </w:tc>
        <w:tc>
          <w:tcPr>
            <w:shd w:fill="auto" w:val="clea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The price per share of Conversion Shares will be: </w:t>
            </w:r>
          </w:p>
        </w:tc>
      </w:tr>
      <w:tr>
        <w:trPr>
          <w:cantSplit w:val="0"/>
          <w:tblHeader w:val="0"/>
        </w:trPr>
        <w:tc>
          <w:tcPr>
            <w:shd w:fill="auto" w:val="clea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tc>
        <w:tc>
          <w:tcPr>
            <w:shd w:fill="auto" w:val="cle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72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(i)  with respect to a Next Equity Financing Conversion, the price that is the lesser of (A) </w:t>
            </w:r>
            <w:r w:rsidDel="00000000" w:rsidR="00000000" w:rsidRPr="00000000">
              <w:rPr>
                <w:rFonts w:ascii="Times New Roman" w:cs="Times New Roman" w:eastAsia="Times New Roman" w:hAnsi="Times New Roman"/>
                <w:sz w:val="24"/>
                <w:szCs w:val="24"/>
                <w:rtl w:val="0"/>
              </w:rPr>
              <w:t xml:space="preserve">{discountRate}</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(the "Discount") less than the lowest price per share of shares sold in the Next Equity Financing and (B) the price per share implied by a US${</w:t>
            </w:r>
            <w:r w:rsidDel="00000000" w:rsidR="00000000" w:rsidRPr="00000000">
              <w:rPr>
                <w:rFonts w:ascii="Times New Roman" w:cs="Times New Roman" w:eastAsia="Times New Roman" w:hAnsi="Times New Roman"/>
                <w:sz w:val="24"/>
                <w:szCs w:val="24"/>
                <w:rtl w:val="0"/>
              </w:rPr>
              <w:t xml:space="preserve">valuationCap</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pre-money valuation, calculated based on the Company's fully diluted capitalization immediately prior to the closing of the Next Equity Financing; and</w:t>
            </w:r>
          </w:p>
        </w:tc>
      </w:tr>
      <w:tr>
        <w:trPr>
          <w:cantSplit w:val="0"/>
          <w:tblHeader w:val="0"/>
        </w:trPr>
        <w:tc>
          <w:tcPr>
            <w:shd w:fill="auto" w:val="cle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tl w:val="0"/>
              </w:rPr>
            </w:r>
          </w:p>
        </w:tc>
        <w:tc>
          <w:tcPr>
            <w:shd w:fill="auto"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72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(ii)  with respect to a Corporate Transaction Conversion, the price per share implied by a US${</w:t>
            </w:r>
            <w:r w:rsidDel="00000000" w:rsidR="00000000" w:rsidRPr="00000000">
              <w:rPr>
                <w:rFonts w:ascii="Times New Roman" w:cs="Times New Roman" w:eastAsia="Times New Roman" w:hAnsi="Times New Roman"/>
                <w:sz w:val="24"/>
                <w:szCs w:val="24"/>
                <w:rtl w:val="0"/>
              </w:rPr>
              <w:t xml:space="preserve">valuationCap</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pre-money valuation, calculated based on the Company's fully diluted capitalization immediately prior to the closing of the Corporate Transaction.</w:t>
            </w:r>
            <w:bookmarkStart w:colFirst="0" w:colLast="0" w:name="gjdgxs" w:id="0"/>
            <w:bookmarkEnd w:id="0"/>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Corporate Transaction Payment</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r w:rsidDel="00000000" w:rsidR="00000000" w:rsidRPr="00000000">
              <w:rPr>
                <w:rtl w:val="0"/>
              </w:rPr>
            </w:r>
          </w:p>
        </w:tc>
        <w:tc>
          <w:tcPr>
            <w:shd w:fill="auto"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If a Corporate Transaction occurs before the conversion of the SAFEs into Conversion Shares, the Company will pay at the closing of the Corporate Transaction to each Purchaser that elects not to convert its SAFE in connection with such Corporate Transaction the amount such Purchaser paid for its SAFE (a "Corporate Transaction Payment").</w:t>
            </w:r>
          </w:p>
        </w:tc>
      </w:tr>
      <w:tr>
        <w:trPr>
          <w:cantSplit w:val="0"/>
          <w:tblHeader w:val="0"/>
        </w:trPr>
        <w:tc>
          <w:tcPr>
            <w:shd w:fill="auto"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tl w:val="0"/>
              </w:rPr>
            </w:r>
          </w:p>
        </w:tc>
        <w:tc>
          <w:tcPr>
            <w:shd w:fill="auto" w:val="cle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"Corporate Transaction" means (a) a sale by the Company of all or substantially all of its assets, (b) a merger of the Company with or into another entity (if after such merger the holders of a majority of the Company’s voting securities immediately prior to the transaction do not hold a majority of the voting securities of the successor entity) or (c) the transfer of more than 50% of the Company's voting securities to a person or group.</w:t>
            </w:r>
          </w:p>
        </w:tc>
      </w:tr>
      <w:tr>
        <w:trPr>
          <w:cantSplit w:val="0"/>
          <w:tblHeader w:val="0"/>
        </w:trPr>
        <w:tc>
          <w:tcPr>
            <w:shd w:fill="auto"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tl w:val="0"/>
              </w:rPr>
            </w:r>
          </w:p>
        </w:tc>
        <w:tc>
          <w:tcPr>
            <w:shd w:fill="auto"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tc>
      </w:tr>
    </w:tbl>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singl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vertAlign w:val="baseline"/>
          <w:rtl w:val="0"/>
        </w:rPr>
        <w:t xml:space="preserve">Offering Mechanics</w:t>
      </w:r>
    </w:p>
    <w:tbl>
      <w:tblPr>
        <w:tblStyle w:val="Table3"/>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5"/>
        <w:gridCol w:w="7350"/>
        <w:tblGridChange w:id="0">
          <w:tblGrid>
            <w:gridCol w:w="1905"/>
            <w:gridCol w:w="7350"/>
          </w:tblGrid>
        </w:tblGridChange>
      </w:tblGrid>
      <w:tr>
        <w:trPr>
          <w:cantSplit w:val="0"/>
          <w:tblHeader w:val="0"/>
        </w:trPr>
        <w:tc>
          <w:tcPr>
            <w:shd w:fill="auto"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Documentation</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r w:rsidDel="00000000" w:rsidR="00000000" w:rsidRPr="00000000">
              <w:rPr>
                <w:rtl w:val="0"/>
              </w:rPr>
            </w:r>
          </w:p>
        </w:tc>
        <w:tc>
          <w:tcPr>
            <w:shd w:fill="auto"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The SAFEs will be prepared by </w:t>
            </w:r>
            <w:r w:rsidDel="00000000" w:rsidR="00000000" w:rsidRPr="00000000">
              <w:rPr>
                <w:rFonts w:ascii="Times New Roman" w:cs="Times New Roman" w:eastAsia="Times New Roman" w:hAnsi="Times New Roman"/>
                <w:sz w:val="24"/>
                <w:szCs w:val="24"/>
                <w:rtl w:val="0"/>
              </w:rPr>
              <w:t xml:space="preserve">{preparedBy}.</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tl w:val="0"/>
              </w:rPr>
            </w:r>
          </w:p>
        </w:tc>
        <w:tc>
          <w:tcPr>
            <w:shd w:fill="auto"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Investors</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r w:rsidDel="00000000" w:rsidR="00000000" w:rsidRPr="00000000">
              <w:rPr>
                <w:rtl w:val="0"/>
              </w:rPr>
            </w:r>
          </w:p>
        </w:tc>
        <w:tc>
          <w:tcPr>
            <w:shd w:fill="auto"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The Financing is only open to "accredited investors" (as defined by the SEC).</w:t>
            </w:r>
          </w:p>
        </w:tc>
      </w:tr>
      <w:tr>
        <w:trPr>
          <w:cantSplit w:val="0"/>
          <w:tblHeader w:val="0"/>
        </w:trPr>
        <w:tc>
          <w:tcPr>
            <w:shd w:fill="auto"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Expenses</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r w:rsidDel="00000000" w:rsidR="00000000" w:rsidRPr="00000000">
              <w:rPr>
                <w:rtl w:val="0"/>
              </w:rPr>
            </w:r>
          </w:p>
        </w:tc>
        <w:tc>
          <w:tcPr>
            <w:shd w:fill="auto"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The Company and the Purchasers will each bear their own legal and other expenses with respect to the Financing.</w:t>
            </w:r>
          </w:p>
        </w:tc>
      </w:tr>
    </w:tbl>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color w:val="2f5496"/>
      <w:sz w:val="32"/>
      <w:szCs w:val="32"/>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color w:val="2f5496"/>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Times New Roman" w:cs="Times New Roman" w:eastAsia="Times New Roman" w:hAnsi="Times New Roman"/>
      <w:sz w:val="56"/>
      <w:szCs w:val="56"/>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pPr>
    <w:rPr>
      <w:rFonts w:ascii="Times New Roman" w:cs="Times New Roman" w:eastAsia="Times New Roman" w:hAnsi="Times New Roman"/>
      <w:b w:val="0"/>
      <w:i w:val="0"/>
      <w:smallCaps w:val="0"/>
      <w:strike w:val="0"/>
      <w:color w:val="5a5a5a"/>
      <w:sz w:val="24"/>
      <w:szCs w:val="24"/>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