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center"/>
        <w:rPr>
          <w:rFonts w:ascii="Times New Roman" w:cs="Times New Roman" w:eastAsia="Times New Roman" w:hAnsi="Times New Roman"/>
          <w:b w:val="1"/>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1"/>
          <w:sz w:val="28"/>
          <w:szCs w:val="28"/>
          <w:rtl w:val="0"/>
        </w:rPr>
        <w:t xml:space="preserve">{companyName}</w:t>
      </w:r>
      <w:r w:rsidDel="00000000" w:rsidR="00000000" w:rsidRPr="00000000">
        <w:rPr>
          <w:rFonts w:ascii="Times New Roman" w:cs="Times New Roman" w:eastAsia="Times New Roman" w:hAnsi="Times New Roman"/>
          <w:b w:val="1"/>
          <w:i w:val="0"/>
          <w:smallCaps w:val="0"/>
          <w:strike w:val="0"/>
          <w:color w:val="000000"/>
          <w:sz w:val="28"/>
          <w:szCs w:val="28"/>
          <w:u w:val="none"/>
          <w:vertAlign w:val="baseline"/>
          <w:rtl w:val="0"/>
        </w:rPr>
        <w:t xml:space="preserve">, INC.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center"/>
        <w:rPr>
          <w:rFonts w:ascii="Times New Roman" w:cs="Times New Roman" w:eastAsia="Times New Roman" w:hAnsi="Times New Roman"/>
          <w:b w:val="1"/>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vertAlign w:val="baseline"/>
          <w:rtl w:val="0"/>
        </w:rPr>
        <w:t xml:space="preserve">SAFE TERM SHEET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This is a summary of the principal terms of a SAFE financing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Financing</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of </w:t>
      </w:r>
      <w:r w:rsidDel="00000000" w:rsidR="00000000" w:rsidRPr="00000000">
        <w:rPr>
          <w:rFonts w:ascii="Times New Roman" w:cs="Times New Roman" w:eastAsia="Times New Roman" w:hAnsi="Times New Roman"/>
          <w:sz w:val="24"/>
          <w:szCs w:val="24"/>
          <w:rtl w:val="0"/>
        </w:rPr>
        <w:t xml:space="preserve">{companyName}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Inc. This term sheet is for discussion purposes only and is not intended to be construed as a binding agreement. The parties do not intend to be bound until they enter into definitive agreements regarding the subject matter of this term sheet.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Offering Terms</w:t>
      </w:r>
      <w:r w:rsidDel="00000000" w:rsidR="00000000" w:rsidRPr="00000000">
        <w:rPr>
          <w:rtl w:val="0"/>
        </w:rPr>
      </w:r>
    </w:p>
    <w:tbl>
      <w:tblPr>
        <w:tblStyle w:val="Table1"/>
        <w:tblW w:w="92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7"/>
        <w:gridCol w:w="7406"/>
        <w:tblGridChange w:id="0">
          <w:tblGrid>
            <w:gridCol w:w="1847"/>
            <w:gridCol w:w="7406"/>
          </w:tblGrid>
        </w:tblGridChange>
      </w:tblGrid>
      <w:tr>
        <w:trPr>
          <w:cantSplit w:val="0"/>
          <w:tblHeader w:val="0"/>
        </w:trPr>
        <w:tc>
          <w:tcPr>
            <w:shd w:fill="auto" w:val="cle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Issuer</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{companyName}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Inc., a </w:t>
            </w:r>
            <w:r w:rsidDel="00000000" w:rsidR="00000000" w:rsidRPr="00000000">
              <w:rPr>
                <w:rFonts w:ascii="Times New Roman" w:cs="Times New Roman" w:eastAsia="Times New Roman" w:hAnsi="Times New Roman"/>
                <w:sz w:val="24"/>
                <w:szCs w:val="24"/>
                <w:rtl w:val="0"/>
              </w:rPr>
              <w:t xml:space="preserve">{stateOfIncorporation}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corporation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Security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Simple agreements for future equity (each, a "SAFE," and collectively, the "SAFEs").</w:t>
            </w:r>
          </w:p>
        </w:tc>
      </w:tr>
      <w:tr>
        <w:trPr>
          <w:cantSplit w:val="0"/>
          <w:tblHeader w:val="0"/>
        </w:trPr>
        <w:tc>
          <w:tcPr>
            <w:shd w:fill="auto"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Purchasers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Investors selected by the Company in its sole discretion (each, a "Purchaser," and collectively, the "Purchasers").</w:t>
            </w:r>
          </w:p>
        </w:tc>
      </w:tr>
      <w:tr>
        <w:trPr>
          <w:cantSplit w:val="0"/>
          <w:tblHeader w:val="0"/>
        </w:trPr>
        <w:tc>
          <w:tcPr>
            <w:shd w:fill="auto" w:val="cle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sz w:val="24"/>
                <w:szCs w:val="24"/>
                <w:rtl w:val="0"/>
              </w:rPr>
              <w:t xml:space="preserve">{#hasGoalAmount}Goal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Amount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Up to US$</w:t>
            </w:r>
            <w:r w:rsidDel="00000000" w:rsidR="00000000" w:rsidRPr="00000000">
              <w:rPr>
                <w:rFonts w:ascii="Times New Roman" w:cs="Times New Roman" w:eastAsia="Times New Roman" w:hAnsi="Times New Roman"/>
                <w:sz w:val="24"/>
                <w:szCs w:val="24"/>
                <w:rtl w:val="0"/>
              </w:rPr>
              <w:t xml:space="preserve">{goalAmount}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1"/>
                <w:sz w:val="24"/>
                <w:szCs w:val="24"/>
                <w:rtl w:val="0"/>
              </w:rPr>
              <w:t xml:space="preserve">{/hasGoalAmount}</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SAFE Terms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tl w:val="0"/>
        </w:rPr>
      </w:r>
    </w:p>
    <w:tbl>
      <w:tblPr>
        <w:tblStyle w:val="Table2"/>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7320"/>
        <w:tblGridChange w:id="0">
          <w:tblGrid>
            <w:gridCol w:w="1950"/>
            <w:gridCol w:w="7320"/>
          </w:tblGrid>
        </w:tblGridChange>
      </w:tblGrid>
      <w:tr>
        <w:trPr>
          <w:cantSplit w:val="0"/>
          <w:tblHeader w:val="0"/>
        </w:trPr>
        <w:tc>
          <w:tcPr>
            <w:shd w:fill="auto"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Conversion Events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Each SAFE will convert:</w:t>
            </w:r>
          </w:p>
        </w:tc>
      </w:tr>
      <w:tr>
        <w:trPr>
          <w:cantSplit w:val="0"/>
          <w:tblHeader w:val="0"/>
        </w:trPr>
        <w:tc>
          <w:tcPr>
            <w:shd w:fill="auto"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  automatically, upon the Company’s issuance of equity securities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Next Equity Financing</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 a single transaction, or series of related transactions with the principal purpose of raising capital, pursuant to which the Company issues and sells Preferred Stock at a fixed valuation, including but not limited to, a pre-money or post-money valuation; and</w:t>
            </w:r>
          </w:p>
        </w:tc>
      </w:tr>
      <w:tr>
        <w:trPr>
          <w:cantSplit w:val="0"/>
          <w:tblHeader w:val="0"/>
        </w:trPr>
        <w:tc>
          <w:tcPr>
            <w:shd w:fill="auto" w:val="cle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(ii)  at the Purchaser's option, in the event of a Corporate Transaction (as defined below) while such SAFE remains outstanding, into shares of the Company's common stock (a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Corporate Transaction Conversion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Securities issued pursuant to the conversion of SAFEs will be referred to herein as "Conversion Shares."</w:t>
            </w:r>
          </w:p>
        </w:tc>
      </w:tr>
      <w:tr>
        <w:trPr>
          <w:cantSplit w:val="0"/>
          <w:tblHeader w:val="0"/>
        </w:trPr>
        <w:tc>
          <w:tcPr>
            <w:shd w:fill="auto"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Conversion Price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price per share of Conversion Shares will be: </w:t>
            </w:r>
          </w:p>
        </w:tc>
      </w:tr>
      <w:tr>
        <w:trPr>
          <w:cantSplit w:val="0"/>
          <w:tblHeader w:val="0"/>
        </w:trPr>
        <w:tc>
          <w:tcPr>
            <w:shd w:fill="auto"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  with respect to a Next Equity Financing Conversion, the price shall be</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number of shares of Standard Preferred Stock equal to the Purchase Amount divided by the lowest price per share of the Standard Preferred Stock; and</w:t>
            </w:r>
          </w:p>
        </w:tc>
      </w:tr>
      <w:tr>
        <w:trPr>
          <w:cantSplit w:val="0"/>
          <w:tblHeader w:val="0"/>
        </w:trPr>
        <w:tc>
          <w:tcPr>
            <w:shd w:fill="auto"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(ii)  with respect to a Corporate Transaction Conversion, the Purchase Amount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Cash-Out Amount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bookmarkStart w:colFirst="0" w:colLast="0" w:name="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Corporate Transaction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"Corporate Transaction" means (a) a sale by the Company of all or substantially all of its assets, (b) a merger of the Company with or into another entity (if after such merger the holders of a majority of the Company’s voting securities immediately prior to the transaction do not hold a majority of the voting securities of the successor entity) or (c) the transfer of more than 50% of the Company's voting securities to a person or group.</w:t>
            </w:r>
          </w:p>
        </w:tc>
      </w:tr>
      <w:tr>
        <w:trPr>
          <w:cantSplit w:val="0"/>
          <w:tblHeader w:val="0"/>
        </w:trPr>
        <w:tc>
          <w:tcPr>
            <w:shd w:fill="auto"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MFN Provision</w:t>
            </w:r>
          </w:p>
        </w:tc>
        <w:tc>
          <w:tcPr>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If the Company issues any Subsequent Convertible Securities with terms more favorable than those listed here the Company will promptly provide the Investor with written notice thereof, together with a copy of such Subsequent Convertible Securities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MFN Notice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 the event the Investor determines that the terms of the Subsequent Convertible Securities are preferable to the terms here, the Investor will notify the Company and the Company will amend the terms to be identical to the Subsequent Convertible Securities.</w:t>
            </w:r>
          </w:p>
        </w:tc>
      </w:tr>
      <w:tr>
        <w:trPr>
          <w:cantSplit w:val="0"/>
          <w:tblHeader w:val="0"/>
        </w:trPr>
        <w:tc>
          <w:tcPr>
            <w:shd w:fill="auto"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Offering Mechanics</w:t>
      </w:r>
    </w:p>
    <w:tbl>
      <w:tblPr>
        <w:tblStyle w:val="Table3"/>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7305"/>
        <w:tblGridChange w:id="0">
          <w:tblGrid>
            <w:gridCol w:w="1950"/>
            <w:gridCol w:w="7305"/>
          </w:tblGrid>
        </w:tblGridChange>
      </w:tblGrid>
      <w:tr>
        <w:trPr>
          <w:cantSplit w:val="0"/>
          <w:tblHeader w:val="0"/>
        </w:trPr>
        <w:tc>
          <w:tcPr>
            <w:shd w:fill="auto"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Documentation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SAFEs will be prepared b</w:t>
            </w:r>
            <w:r w:rsidDel="00000000" w:rsidR="00000000" w:rsidRPr="00000000">
              <w:rPr>
                <w:rFonts w:ascii="Times New Roman" w:cs="Times New Roman" w:eastAsia="Times New Roman" w:hAnsi="Times New Roman"/>
                <w:sz w:val="24"/>
                <w:szCs w:val="24"/>
                <w:rtl w:val="0"/>
              </w:rPr>
              <w:t xml:space="preserve">y {preparedBy}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Investors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Financing is only open to "accredited investors" (as defined by the SEC).</w:t>
            </w:r>
          </w:p>
        </w:tc>
      </w:tr>
      <w:tr>
        <w:trPr>
          <w:cantSplit w:val="0"/>
          <w:tblHeader w:val="0"/>
        </w:trPr>
        <w:tc>
          <w:tcPr>
            <w:shd w:fill="auto"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Expenses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Company and the Purchasers will each bear their own legal and other expenses with respect to the Financing.</w:t>
            </w:r>
          </w:p>
        </w:tc>
      </w:tr>
    </w:tbl>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color w:val="2f5496"/>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color w:val="2f5496"/>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Times New Roman" w:cs="Times New Roman" w:eastAsia="Times New Roman" w:hAnsi="Times New Roman"/>
      <w:sz w:val="56"/>
      <w:szCs w:val="56"/>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Times New Roman" w:cs="Times New Roman" w:eastAsia="Times New Roman" w:hAnsi="Times New Roman"/>
      <w:b w:val="0"/>
      <w:i w:val="0"/>
      <w:smallCaps w:val="0"/>
      <w:strike w:val="0"/>
      <w:color w:val="5a5a5a"/>
      <w:sz w:val="24"/>
      <w:szCs w:val="24"/>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