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center"/>
        <w:rPr>
          <w:rFonts w:ascii="Times New Roman" w:cs="Times New Roman" w:eastAsia="Times New Roman" w:hAnsi="Times New Roman"/>
          <w:b w:val="1"/>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1"/>
          <w:sz w:val="28"/>
          <w:szCs w:val="28"/>
          <w:rtl w:val="0"/>
        </w:rPr>
        <w:t xml:space="preserve">{companyName}</w:t>
      </w:r>
      <w:r w:rsidDel="00000000" w:rsidR="00000000" w:rsidRPr="00000000">
        <w:rPr>
          <w:rFonts w:ascii="Times New Roman" w:cs="Times New Roman" w:eastAsia="Times New Roman" w:hAnsi="Times New Roman"/>
          <w:b w:val="1"/>
          <w:i w:val="0"/>
          <w:smallCaps w:val="0"/>
          <w:strike w:val="0"/>
          <w:color w:val="000000"/>
          <w:sz w:val="28"/>
          <w:szCs w:val="28"/>
          <w:u w:val="none"/>
          <w:vertAlign w:val="baseline"/>
          <w:rtl w:val="0"/>
        </w:rPr>
        <w:t xml:space="preserve">, INC.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center"/>
        <w:rPr>
          <w:rFonts w:ascii="Times New Roman" w:cs="Times New Roman" w:eastAsia="Times New Roman" w:hAnsi="Times New Roman"/>
          <w:b w:val="1"/>
          <w:i w:val="0"/>
          <w:smallCaps w:val="0"/>
          <w:strike w:val="0"/>
          <w:color w:val="000000"/>
          <w:sz w:val="28"/>
          <w:szCs w:val="28"/>
          <w:u w:val="none"/>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vertAlign w:val="baseline"/>
          <w:rtl w:val="0"/>
        </w:rPr>
        <w:t xml:space="preserve">SAFE TERM SHEET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This is a summary of the principal terms of a SAFE financing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Financing</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of </w:t>
      </w:r>
      <w:r w:rsidDel="00000000" w:rsidR="00000000" w:rsidRPr="00000000">
        <w:rPr>
          <w:rFonts w:ascii="Times New Roman" w:cs="Times New Roman" w:eastAsia="Times New Roman" w:hAnsi="Times New Roman"/>
          <w:sz w:val="24"/>
          <w:szCs w:val="24"/>
          <w:rtl w:val="0"/>
        </w:rPr>
        <w:t xml:space="preserve">{companyName}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Inc. This term sheet is for discussion purposes only and is not intended to be construed as a binding agreement. The parties do not intend to be bound until they enter into definitive agreements regarding the subject matter of this term sheet.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Offering Terms</w:t>
      </w:r>
      <w:r w:rsidDel="00000000" w:rsidR="00000000" w:rsidRPr="00000000">
        <w:rPr>
          <w:rtl w:val="0"/>
        </w:rPr>
      </w:r>
    </w:p>
    <w:tbl>
      <w:tblPr>
        <w:tblStyle w:val="Table1"/>
        <w:tblW w:w="925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47"/>
        <w:gridCol w:w="7406"/>
        <w:tblGridChange w:id="0">
          <w:tblGrid>
            <w:gridCol w:w="1847"/>
            <w:gridCol w:w="7406"/>
          </w:tblGrid>
        </w:tblGridChange>
      </w:tblGrid>
      <w:tr>
        <w:trPr>
          <w:cantSplit w:val="0"/>
          <w:tblHeader w:val="0"/>
        </w:trPr>
        <w:tc>
          <w:tcPr>
            <w:shd w:fill="auto" w:val="clear"/>
          </w:tcPr>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Issuer</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sz w:val="24"/>
                <w:szCs w:val="24"/>
                <w:rtl w:val="0"/>
              </w:rPr>
              <w:t xml:space="preserve">{companyName}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Inc., a </w:t>
            </w:r>
            <w:r w:rsidDel="00000000" w:rsidR="00000000" w:rsidRPr="00000000">
              <w:rPr>
                <w:rFonts w:ascii="Times New Roman" w:cs="Times New Roman" w:eastAsia="Times New Roman" w:hAnsi="Times New Roman"/>
                <w:sz w:val="24"/>
                <w:szCs w:val="24"/>
                <w:rtl w:val="0"/>
              </w:rPr>
              <w:t xml:space="preserve">{stateOfIncorporation}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corporation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Company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Security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Simple agreements for future equity (each, a "SAFE," and collectively, the "SAFEs").</w:t>
            </w:r>
          </w:p>
        </w:tc>
      </w:tr>
      <w:tr>
        <w:trPr>
          <w:cantSplit w:val="0"/>
          <w:tblHeader w:val="0"/>
        </w:trPr>
        <w:tc>
          <w:tcPr>
            <w:shd w:fill="auto" w:val="clear"/>
          </w:tcPr>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Purchasers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Investors selected by the Company in its sole discretion (each, a "Purchaser," and collectively, the "Purchasers").</w:t>
            </w:r>
          </w:p>
        </w:tc>
      </w:tr>
      <w:tr>
        <w:trPr>
          <w:cantSplit w:val="0"/>
          <w:tblHeader w:val="0"/>
        </w:trPr>
        <w:tc>
          <w:tcPr>
            <w:shd w:fill="auto" w:val="clear"/>
          </w:tcPr>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sz w:val="24"/>
                <w:szCs w:val="24"/>
                <w:rtl w:val="0"/>
              </w:rPr>
              <w:t xml:space="preserve">{#hasGoalAmount}Goal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Amount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Up to US$ </w:t>
            </w:r>
            <w:r w:rsidDel="00000000" w:rsidR="00000000" w:rsidRPr="00000000">
              <w:rPr>
                <w:rFonts w:ascii="Times New Roman" w:cs="Times New Roman" w:eastAsia="Times New Roman" w:hAnsi="Times New Roman"/>
                <w:sz w:val="24"/>
                <w:szCs w:val="24"/>
                <w:rtl w:val="0"/>
              </w:rPr>
              <w:t xml:space="preserve">{goalAmount}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1"/>
                <w:sz w:val="24"/>
                <w:szCs w:val="24"/>
                <w:rtl w:val="0"/>
              </w:rPr>
              <w:t xml:space="preserve">{/hasGoalAmount}</w:t>
            </w:r>
            <w:r w:rsidDel="00000000" w:rsidR="00000000" w:rsidRPr="00000000">
              <w:rPr>
                <w:rtl w:val="0"/>
              </w:rPr>
            </w:r>
          </w:p>
        </w:tc>
      </w:tr>
    </w:tbl>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SAFE Terms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w:t>
      </w:r>
      <w:r w:rsidDel="00000000" w:rsidR="00000000" w:rsidRPr="00000000">
        <w:rPr>
          <w:rtl w:val="0"/>
        </w:rPr>
      </w:r>
    </w:p>
    <w:tbl>
      <w:tblPr>
        <w:tblStyle w:val="Table2"/>
        <w:tblW w:w="92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365"/>
        <w:tblGridChange w:id="0">
          <w:tblGrid>
            <w:gridCol w:w="1905"/>
            <w:gridCol w:w="7365"/>
          </w:tblGrid>
        </w:tblGridChange>
      </w:tblGrid>
      <w:tr>
        <w:trPr>
          <w:cantSplit w:val="0"/>
          <w:tblHeader w:val="0"/>
        </w:trPr>
        <w:tc>
          <w:tcPr>
            <w:shd w:fill="auto" w:val="clear"/>
          </w:tcPr>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Conversion Events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Each SAFE will convert:</w:t>
            </w:r>
          </w:p>
        </w:tc>
      </w:tr>
      <w:tr>
        <w:trPr>
          <w:cantSplit w:val="0"/>
          <w:tblHeader w:val="0"/>
        </w:trPr>
        <w:tc>
          <w:tcPr>
            <w:shd w:fill="auto" w:val="clear"/>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  automatically, upon the Company's issuance of equity securities (the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Next Equity Financing</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in a single transaction, or series of related transactions, with aggregate gross proceeds to the Company of at least US$</w:t>
            </w:r>
            <w:r w:rsidDel="00000000" w:rsidR="00000000" w:rsidRPr="00000000">
              <w:rPr>
                <w:rFonts w:ascii="Times New Roman" w:cs="Times New Roman" w:eastAsia="Times New Roman" w:hAnsi="Times New Roman"/>
                <w:sz w:val="24"/>
                <w:szCs w:val="24"/>
                <w:rtl w:val="0"/>
              </w:rPr>
              <w:t xml:space="preserve">{valuationCap}</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excluding proceeds from the issuance of any simple agreements for future equity (including the SAFEs) or convertible debt, into (a) shares of the Company's capital stock issued to investors in the Next Equity Financing or (b) in the event the Company issues preferred stock with a liquidation preference in the Next Equity Financing, at the Company's election, shares of a shadow series of preferred stock substantially the same as the series of preferred stock issued in the Next Equity Financing, except that the per share liquidation preference of the shadow series will be equal to the conversion price of the SAFEs (a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Next Equity Financing Conversion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and</w:t>
            </w:r>
          </w:p>
        </w:tc>
      </w:tr>
      <w:tr>
        <w:trPr>
          <w:cantSplit w:val="0"/>
          <w:tblHeader w:val="0"/>
        </w:trPr>
        <w:tc>
          <w:tcPr>
            <w:shd w:fill="auto" w:val="clear"/>
          </w:tcPr>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24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(ii)  at the Purchaser's option, in the event of a Corporate Transaction (as defined below) while such SAFE remains outstanding, into shares of the Company's common stock (a "</w:t>
            </w: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Corporate Transaction Conversion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Securities issued pursuant to the conversion of SAFEs will be referred to herein as "Conversion Shares."</w:t>
            </w:r>
          </w:p>
        </w:tc>
      </w:tr>
      <w:tr>
        <w:trPr>
          <w:cantSplit w:val="0"/>
          <w:tblHeader w:val="0"/>
        </w:trPr>
        <w:tc>
          <w:tcPr>
            <w:shd w:fill="auto" w:val="clea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Conversion Price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c>
          <w:tcPr>
            <w:shd w:fill="auto" w:val="clea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price per share of Conversion Shares will be: </w:t>
            </w:r>
          </w:p>
        </w:tc>
      </w:tr>
      <w:tr>
        <w:trPr>
          <w:cantSplit w:val="0"/>
          <w:tblHeader w:val="0"/>
        </w:trPr>
        <w:tc>
          <w:tcPr>
            <w:shd w:fill="auto" w:val="clea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  with respect to a Next Equity Financing Conversion, the price shall be the price per share implied by a US${</w:t>
            </w:r>
            <w:r w:rsidDel="00000000" w:rsidR="00000000" w:rsidRPr="00000000">
              <w:rPr>
                <w:rFonts w:ascii="Times New Roman" w:cs="Times New Roman" w:eastAsia="Times New Roman" w:hAnsi="Times New Roman"/>
                <w:sz w:val="24"/>
                <w:szCs w:val="24"/>
                <w:rtl w:val="0"/>
              </w:rPr>
              <w:t xml:space="preserve">valuationCap</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pre-money valuation, calculated based on the Company's fully diluted capitalization immediately prior to the closing of the Next Equity Financing; and</w:t>
            </w:r>
          </w:p>
        </w:tc>
      </w:tr>
      <w:tr>
        <w:trPr>
          <w:cantSplit w:val="0"/>
          <w:tblHeader w:val="0"/>
        </w:trPr>
        <w:tc>
          <w:tcPr>
            <w:shd w:fill="auto" w:val="clear"/>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120" w:before="120" w:line="259" w:lineRule="auto"/>
              <w:ind w:left="0" w:right="0" w:firstLine="72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(ii)  with respect to a Corporate Transaction Conversion, the price per share implied by a US${</w:t>
            </w:r>
            <w:r w:rsidDel="00000000" w:rsidR="00000000" w:rsidRPr="00000000">
              <w:rPr>
                <w:rFonts w:ascii="Times New Roman" w:cs="Times New Roman" w:eastAsia="Times New Roman" w:hAnsi="Times New Roman"/>
                <w:sz w:val="24"/>
                <w:szCs w:val="24"/>
                <w:rtl w:val="0"/>
              </w:rPr>
              <w:t xml:space="preserve">valuationCap</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 pre-money valuation, calculated based on the Company's fully diluted capitalization immediately prior to the closing of the Corporate Transaction.</w:t>
            </w:r>
          </w:p>
        </w:tc>
      </w:tr>
      <w:tr>
        <w:trPr>
          <w:cantSplit w:val="0"/>
          <w:tblHeader w:val="0"/>
        </w:trPr>
        <w:tc>
          <w:tcPr>
            <w:shd w:fill="auto" w:val="clear"/>
          </w:tcPr>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Corporate Transaction Payment</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If a Corporate Transaction occurs before the conversion of the SAFEs into Conversion Shares, the Company will pay at the closing of the Corporate Transaction to each Purchaser that elects not to convert its SAFE in connection with such Corporate Transaction the amount such Purchaser paid for its SAFE (a "Corporate Transaction Payment").</w:t>
            </w:r>
          </w:p>
        </w:tc>
      </w:tr>
      <w:tr>
        <w:trPr>
          <w:cantSplit w:val="0"/>
          <w:tblHeader w:val="0"/>
        </w:trPr>
        <w:tc>
          <w:tcPr>
            <w:shd w:fill="auto" w:val="clear"/>
          </w:tcPr>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"Corporate Transaction" means (a) a sale by the Company of all or substantially all of its assets, (b) a merger of the Company with or into another entity (if after such merger the holders of a majority of the Company’s voting securities immediately prior to the transaction do not hold a majority of the voting securities of the successor entity) or (c) the transfer of more than 50% of the Company's voting securities to a person or group.</w:t>
            </w:r>
          </w:p>
        </w:tc>
      </w:tr>
      <w:tr>
        <w:trPr>
          <w:cantSplit w:val="0"/>
          <w:tblHeader w:val="0"/>
        </w:trPr>
        <w:tc>
          <w:tcPr>
            <w:shd w:fill="auto" w:val="clear"/>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bl>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singl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vertAlign w:val="baseline"/>
          <w:rtl w:val="0"/>
        </w:rPr>
        <w:t xml:space="preserve">Offering Mechanics</w:t>
      </w:r>
    </w:p>
    <w:tbl>
      <w:tblPr>
        <w:tblStyle w:val="Table3"/>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05"/>
        <w:gridCol w:w="7350"/>
        <w:tblGridChange w:id="0">
          <w:tblGrid>
            <w:gridCol w:w="1905"/>
            <w:gridCol w:w="7350"/>
          </w:tblGrid>
        </w:tblGridChange>
      </w:tblGrid>
      <w:tr>
        <w:trPr>
          <w:cantSplit w:val="0"/>
          <w:tblHeader w:val="0"/>
        </w:trPr>
        <w:tc>
          <w:tcPr>
            <w:shd w:fill="auto" w:val="clear"/>
          </w:tcPr>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Documentation</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SAFEs will be prepared by </w:t>
            </w:r>
            <w:r w:rsidDel="00000000" w:rsidR="00000000" w:rsidRPr="00000000">
              <w:rPr>
                <w:rFonts w:ascii="Times New Roman" w:cs="Times New Roman" w:eastAsia="Times New Roman" w:hAnsi="Times New Roman"/>
                <w:sz w:val="24"/>
                <w:szCs w:val="24"/>
                <w:rtl w:val="0"/>
              </w:rPr>
              <w:t xml:space="preserve">{preparedBy}</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p>
        </w:tc>
      </w:tr>
      <w:tr>
        <w:trPr>
          <w:cantSplit w:val="0"/>
          <w:tblHeader w:val="0"/>
        </w:trPr>
        <w:tc>
          <w:tcPr>
            <w:shd w:fill="auto" w:val="clea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tl w:val="0"/>
              </w:rPr>
            </w:r>
          </w:p>
        </w:tc>
        <w:tc>
          <w:tcPr>
            <w:shd w:fill="auto" w:val="clear"/>
          </w:tcPr>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Investors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Financing is only open to "accredited investors" (as defined by the SEC).</w:t>
            </w:r>
          </w:p>
        </w:tc>
      </w:tr>
      <w:tr>
        <w:trPr>
          <w:cantSplit w:val="0"/>
          <w:tblHeader w:val="0"/>
        </w:trPr>
        <w:tc>
          <w:tcPr>
            <w:shd w:fill="auto" w:val="clea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160" w:before="120" w:line="259" w:lineRule="auto"/>
              <w:ind w:left="0" w:right="0" w:firstLine="0"/>
              <w:jc w:val="left"/>
              <w:rPr>
                <w:rFonts w:ascii="Times New Roman" w:cs="Times New Roman" w:eastAsia="Times New Roman" w:hAnsi="Times New Roman"/>
                <w:b w:val="1"/>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vertAlign w:val="baseline"/>
                <w:rtl w:val="0"/>
              </w:rPr>
              <w:t xml:space="preserve">Expenses</w:t>
            </w: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w:t>
            </w:r>
            <w:r w:rsidDel="00000000" w:rsidR="00000000" w:rsidRPr="00000000">
              <w:rPr>
                <w:rtl w:val="0"/>
              </w:rPr>
            </w:r>
          </w:p>
        </w:tc>
        <w:tc>
          <w:tcPr>
            <w:shd w:fill="auto" w:val="clea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Times New Roman" w:cs="Times New Roman" w:eastAsia="Times New Roman" w:hAnsi="Times New Roman"/>
                <w:b w:val="0"/>
                <w:i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vertAlign w:val="baseline"/>
                <w:rtl w:val="0"/>
              </w:rPr>
              <w:t xml:space="preserve">The Company and the Purchasers will each bear their own legal and other expenses with respect to the Financing.</w:t>
            </w:r>
          </w:p>
        </w:tc>
      </w:tr>
    </w:tbl>
    <w:p w:rsidR="00000000" w:rsidDel="00000000" w:rsidP="00000000" w:rsidRDefault="00000000" w:rsidRPr="00000000" w14:paraId="0000002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color w:val="2f5496"/>
      <w:sz w:val="32"/>
      <w:szCs w:val="32"/>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color w:val="2f5496"/>
      <w:sz w:val="28"/>
      <w:szCs w:val="28"/>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Times New Roman" w:cs="Times New Roman" w:eastAsia="Times New Roman" w:hAnsi="Times New Roman"/>
      <w:sz w:val="56"/>
      <w:szCs w:val="56"/>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pPr>
    <w:rPr>
      <w:rFonts w:ascii="Times New Roman" w:cs="Times New Roman" w:eastAsia="Times New Roman" w:hAnsi="Times New Roman"/>
      <w:b w:val="0"/>
      <w:i w:val="0"/>
      <w:smallCaps w:val="0"/>
      <w:strike w:val="0"/>
      <w:color w:val="5a5a5a"/>
      <w:sz w:val="24"/>
      <w:szCs w:val="24"/>
      <w:u w:val="none"/>
      <w:shd w:fill="auto" w:val="clear"/>
      <w:vertAlign w:val="baseline"/>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