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developer-ready Product &amp; Technical Requirements Document (PRD)</w:t>
      </w:r>
      <w:r w:rsidDel="00000000" w:rsidR="00000000" w:rsidRPr="00000000">
        <w:rPr>
          <w:rtl w:val="0"/>
        </w:rPr>
        <w:t xml:space="preserve"> for your MVP using Vapi.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assumes: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First-party rent servicing (property manager collecting its own rent)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delinquency only (3–15 days late)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U.S.-based pilot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via Vapi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Compliance-first architecture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autonomous negotiation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Informational eviction explanation only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wog2lwkj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Automated Rent Status Voice Assistant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Vapi.ai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 (Pilot)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U.S. Property Management Companies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oua3tebhb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compliant, automated outbound voice assistant that: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 tenants with unpaid rent (early-stage delinquency only)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for payment status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payment options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neutral procedural information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interactions for auditability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Minimizes regulatory risk under: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Telephone Consumer Protection Act (TCPA)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consumer protection laws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call recording laws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is NOT a debt collection system.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“Automated Rent Status &amp; Payment Coordination Assistant”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q92t1x8an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MVP SCOPE (STRICT LIMITS)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xkpffnjf9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Outbound AI voice calls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conversation flow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portal SMS link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logging &amp; transcript storage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 management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frequency limiter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Timezone-aware dialing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od0aalrd4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EXCLUDED (MVP)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negotiation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payment plan approval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fee modification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offers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advice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beyond 15 days late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after formal eviction notice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ubgfoml4h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COMPLIANCE REQUIREMENTS (MANDATORY)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k5pmqkb0l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Consent Verification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call is placed: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confirm: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signed lease with automated call consent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record is stored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opt-out recorded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must store: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timestamp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document version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source (lease clause)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consent = false → DO NOT CALL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enmmqkp8b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Call Window Restrictions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comply with: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8:00 AM – 9:00 PM tenant local time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tenant address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timezone via backend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call outside window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k6cxasnl4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Call Frequency Limits (MVP Conservative Settings)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tenant: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2 calls per 7-day period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4 calls per 30 days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72 hours between attempts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Hard-coded rule engine required.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umbcn2ok1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Opt-Out Handling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call: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must be able to say: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“Stop calling”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“Opt out”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contact”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press designated key (e.g., 9)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flag tenant as DO_NOT_CALL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future scheduled calls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opt-out timestamp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r70kecyin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Recording Disclosure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call recording enabled: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line must state:</w:t>
        <w:br w:type="textWrapping"/>
        <w:t xml:space="preserve"> “This call may be recorded for quality purposes.”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allow: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Recording disabled per state configuration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must support state-based toggle.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x8w2csv5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CONVERSATION DESIGN (DETERMINISTIC)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open-ended legal explanation generation allowed.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Vapi must use: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state machine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response templates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classification only (not freeform LLM replies)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ve91xvvl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Call Flow Overview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ttwlaqvey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Greeting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“Hi, this is the automated leasing assistant for [Property Name].</w:t>
        <w:br w:type="textWrapping"/>
        <w:t xml:space="preserve"> This call is regarding your lease account.”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recording enabled:</w:t>
        <w:br w:type="textWrapping"/>
        <w:t xml:space="preserve"> “This call may be recorded.”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4vwb6t68y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Identity Confirmation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“Am I speaking with [First Name]?”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continue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“Please have them contact the leasing office.” → end call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disclose balance to wrong person.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sczft5yw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Context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system shows that the rent for [Month] has not yet been marked as received.”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 phrases: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owe”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“Past due balance”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“Debt”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“Final notice”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85ods67d4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Status Prompt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“Has the payment already been submitted?”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(intent classification):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paid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Paying soon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assistance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to manager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t27u80s5r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Branch Handling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hyj8taxwje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“Already Paid”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you. Our system may take 1–2 days to update.”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 PAYMENT_PENDING_VERIFICATION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i391bssfsc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“Paying Soon”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 “What date do you expect to submit payment?”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expected date.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SMS link.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5hxwvt0cpj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“Need Assistance”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portal SMS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plan inquiry form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callback scheduling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reason if provided.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vr8x9iir76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Asked About Eviction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allowed script: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“Under the lease agreement, if rent remains unpaid beyond the grace period, the standard next step is issuance of a formal notice. For exact details, I can connect you with the property manager.”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timeline prediction.</w:t>
        <w:br w:type="textWrapping"/>
        <w:t xml:space="preserve"> No threats.</w:t>
        <w:br w:type="textWrapping"/>
        <w:t xml:space="preserve"> No pressure language.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jjbwy6nby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ARCHITECTURE REQUIREMENTS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yeecuu8a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System Components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/ Tenant Database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Rules Engine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Scheduler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Vapi Integration Layer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Audit Storage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Service (Twilio or similar)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3wp536n6q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Vapi Configuration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must configure: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prompt template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classifier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autonomous negotiation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call duration: 4 minutes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timeout: 10 seconds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retries: 1 reconnect attempt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lspjtcear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Backend Logic Layer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call: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validate: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= true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opted out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call frequency limits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time window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Delinquency age 3–15 days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eviction notice filed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condition fails → suppress call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hikliwvkl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MODEL REQUIREMENTS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Table: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phone_number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property_name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rent_due_date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days_late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consent_status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consent_timestamp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opt_out_flag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eviction_status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Log Table: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call_id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script_version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call_outcome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recording_url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opt_out_detected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expected_payment_date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dp3svve8x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 REQUIREMENTS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data at rest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call recordings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admin access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logging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policy (12–24 months configurable)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sensitive financial data stored beyond what is necessary.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c652uhp9w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PILOT CONFIGURATION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Pilot Rules: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tenants 3–10 days late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1 property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50 tenants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of transcripts weekly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dashboard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8i56ti2t3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METRICS TO TRACK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rate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Promise-to-pay rate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completion rate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 rate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rate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call duration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llzfd8qa4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DEPLOYMENT PHASES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0dm6i4md6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Internal Testing (2 weeks)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Simulated tenant calls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testing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 stress testing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dm91zedxy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Controlled Live Pilot (30 days)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daily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compliance review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scripts only via version control</w:t>
        <w:br w:type="textWrapping"/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tlcufuvg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Post-Pilot Review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review of transcripts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scaling readiness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vxxfon03n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NON-FUNCTIONAL REQUIREMENTS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99% call initiation success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handling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call termination on compliance trigger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version control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for: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CSV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logs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Suppress tenant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reports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n9qhhcumq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RISK MITIGATION DESIGN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automatically terminate call if tenant says: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“Attorney”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“Cease”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“Complaint”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“Sue”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to human or end call immediately.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53mkmv0eh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FEATURES (NOT MVP)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AI handling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plan configuration engine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delinquency outreach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p3oa94eks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OPEN QUESTIONS FOR YOU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this document for engineering: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state is the pilot in?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SMS always accompany voice?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calls recorded in MVP?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using synthetic voice or cloned human voice?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your friend updating lease agreements to include explicit AI call consent?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those and I can: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Tighten compliance controls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risk posture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developer checklist version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create a version suitable for your attorney review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a strong SaaS product — but the architecture must be compliance-first from day one.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