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38"/>
        <w:gridCol w:w="2400"/>
      </w:tblGrid>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נכתב ע"י: </w:t>
            </w:r>
            <w:r>
              <w:rPr>
                <w:rFonts w:ascii="David" w:cs="David" w:eastAsia="David" w:hAnsi="David"/>
                <w:b w:val="false"/>
                <w:bCs w:val="false"/>
                <w:sz w:val="22"/>
                <w:szCs w:val="22"/>
                <w:rtl/>
              </w:rPr>
              <w:t xml:space="preserve">מיכאל פרייליך</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תפקיד: </w:t>
            </w:r>
            <w:r>
              <w:rPr>
                <w:rFonts w:ascii="David" w:cs="David" w:eastAsia="David" w:hAnsi="David"/>
                <w:b w:val="false"/>
                <w:bCs w:val="false"/>
                <w:sz w:val="22"/>
                <w:szCs w:val="22"/>
                <w:rtl/>
              </w:rPr>
              <w:t xml:space="preserve">מנהל בטיחות ואיכות הסביבה</w:t>
            </w:r>
          </w:p>
        </w:tc>
        <w:tc>
          <w:tcPr>
            <w:tcW w:type="dxa" w:w="2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תאריך: </w:t>
            </w:r>
            <w:r>
              <w:rPr>
                <w:rFonts w:ascii="David" w:cs="David" w:eastAsia="David" w:hAnsi="David"/>
                <w:b w:val="false"/>
                <w:bCs w:val="false"/>
                <w:sz w:val="22"/>
                <w:szCs w:val="22"/>
                <w:rtl/>
              </w:rPr>
              <w:t xml:space="preserve">16.10.2026</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חתימה:</w:t>
            </w:r>
          </w:p>
        </w:tc>
      </w:tr>
      <w:t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אושר ע"י: </w:t>
            </w:r>
            <w:r>
              <w:rPr>
                <w:rFonts w:ascii="David" w:cs="David" w:eastAsia="David" w:hAnsi="David"/>
                <w:b w:val="false"/>
                <w:bCs w:val="false"/>
                <w:sz w:val="22"/>
                <w:szCs w:val="22"/>
                <w:rtl/>
              </w:rPr>
              <w:t xml:space="preserve">צחי וולפוביץ</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תפקיד: </w:t>
            </w:r>
            <w:r>
              <w:rPr>
                <w:rFonts w:ascii="David" w:cs="David" w:eastAsia="David" w:hAnsi="David"/>
                <w:b w:val="false"/>
                <w:bCs w:val="false"/>
                <w:sz w:val="22"/>
                <w:szCs w:val="22"/>
                <w:rtl/>
              </w:rPr>
              <w:t xml:space="preserve">סמנכ"ל תפעול</w:t>
            </w:r>
          </w:p>
        </w:tc>
        <w:tc>
          <w:tcPr>
            <w:tcW w:type="dxa" w:w="2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תאריך: </w:t>
            </w:r>
            <w:r>
              <w:rPr>
                <w:rFonts w:ascii="David" w:cs="David" w:eastAsia="David" w:hAnsi="David"/>
                <w:b w:val="false"/>
                <w:bCs w:val="false"/>
                <w:sz w:val="22"/>
                <w:szCs w:val="22"/>
                <w:rtl/>
              </w:rPr>
              <w:t xml:space="preserve">16.10.2026</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bCs/>
                <w:sz w:val="22"/>
                <w:szCs w:val="22"/>
                <w:rtl/>
              </w:rPr>
              <w:t xml:space="preserve">חתימה:</w:t>
            </w:r>
          </w:p>
        </w:tc>
      </w:tr>
    </w:tbl>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שיטה</w:t>
      </w:r>
    </w:p>
    <w:p>
      <w:pPr>
        <w:bidi/>
        <w:spacing w:after="100" w:line="300"/>
        <w:jc w:val="right"/>
      </w:pPr>
      <w:r>
        <w:rPr>
          <w:rFonts w:ascii="David" w:cs="David" w:eastAsia="David" w:hAnsi="David"/>
          <w:b/>
          <w:bCs/>
          <w:sz w:val="24"/>
          <w:szCs w:val="24"/>
          <w:rtl/>
        </w:rPr>
        <w:t xml:space="preserve">1 </w:t>
      </w:r>
      <w:r>
        <w:rPr>
          <w:rFonts w:ascii="David" w:cs="David" w:eastAsia="David" w:hAnsi="David"/>
          <w:b w:val="false"/>
          <w:bCs w:val="false"/>
          <w:sz w:val="24"/>
          <w:szCs w:val="24"/>
          <w:rtl/>
        </w:rPr>
        <w:t xml:space="preserve">לפני כל פעילות של ריקון אמוניה יש להצטייד באמצעי מגן מתאימים:</w:t>
      </w:r>
    </w:p>
    <w:p>
      <w:pPr>
        <w:bidi/>
        <w:spacing w:after="100" w:line="300"/>
        <w:ind w:right="400"/>
        <w:jc w:val="right"/>
      </w:pPr>
      <w:r>
        <w:rPr>
          <w:rFonts w:ascii="David" w:cs="David" w:eastAsia="David" w:hAnsi="David"/>
          <w:b/>
          <w:bCs/>
          <w:sz w:val="24"/>
          <w:szCs w:val="24"/>
          <w:rtl/>
        </w:rPr>
        <w:t xml:space="preserve">1.1 </w:t>
      </w:r>
      <w:r>
        <w:rPr>
          <w:rFonts w:ascii="David" w:cs="David" w:eastAsia="David" w:hAnsi="David"/>
          <w:b w:val="false"/>
          <w:bCs w:val="false"/>
          <w:sz w:val="24"/>
          <w:szCs w:val="24"/>
          <w:rtl/>
        </w:rPr>
        <w:t xml:space="preserve">ריקון יזום של אמוניה גזית או נוזלית: הצטייד במסכה וגלאי ידני.</w:t>
      </w:r>
    </w:p>
    <w:p>
      <w:pPr>
        <w:bidi/>
        <w:spacing w:after="100" w:line="300"/>
        <w:ind w:right="400"/>
        <w:jc w:val="right"/>
      </w:pPr>
      <w:r>
        <w:rPr>
          <w:rFonts w:ascii="David" w:cs="David" w:eastAsia="David" w:hAnsi="David"/>
          <w:b/>
          <w:bCs/>
          <w:sz w:val="24"/>
          <w:szCs w:val="24"/>
          <w:rtl/>
        </w:rPr>
        <w:t xml:space="preserve">1.2 </w:t>
      </w:r>
      <w:r>
        <w:rPr>
          <w:rFonts w:ascii="David" w:cs="David" w:eastAsia="David" w:hAnsi="David"/>
          <w:b w:val="false"/>
          <w:bCs w:val="false"/>
          <w:sz w:val="24"/>
          <w:szCs w:val="24"/>
          <w:rtl/>
        </w:rPr>
        <w:t xml:space="preserve">ריקון של אמוניה גזית או נוזלית עקב אירוע חירום ו/או תקלה: הצטייד בחליפת מגן, מסכה וגלאי ידני.</w:t>
      </w:r>
    </w:p>
    <w:p>
      <w:pPr>
        <w:bidi/>
        <w:spacing w:after="100" w:line="300"/>
        <w:jc w:val="right"/>
      </w:pPr>
      <w:r>
        <w:rPr>
          <w:rFonts w:ascii="David" w:cs="David" w:eastAsia="David" w:hAnsi="David"/>
          <w:b/>
          <w:bCs/>
          <w:sz w:val="24"/>
          <w:szCs w:val="24"/>
          <w:rtl/>
        </w:rPr>
        <w:t xml:space="preserve">2 </w:t>
      </w:r>
      <w:r>
        <w:rPr>
          <w:rFonts w:ascii="David" w:cs="David" w:eastAsia="David" w:hAnsi="David"/>
          <w:b w:val="false"/>
          <w:bCs w:val="false"/>
          <w:sz w:val="24"/>
          <w:szCs w:val="24"/>
          <w:rtl/>
        </w:rPr>
        <w:t xml:space="preserve">ריקון יזום של אמוניה ממערכת קירור חייב להתבצע בזהירות ובקצב המבטיח שלא תהיה פליטת אמוניה לאוויר.</w:t>
      </w:r>
    </w:p>
    <w:p>
      <w:pPr>
        <w:bidi/>
        <w:spacing w:after="100" w:line="300"/>
        <w:jc w:val="right"/>
      </w:pPr>
      <w:r>
        <w:rPr>
          <w:rFonts w:ascii="David" w:cs="David" w:eastAsia="David" w:hAnsi="David"/>
          <w:b/>
          <w:bCs/>
          <w:sz w:val="24"/>
          <w:szCs w:val="24"/>
          <w:rtl/>
        </w:rPr>
        <w:t xml:space="preserve">3 </w:t>
      </w:r>
      <w:r>
        <w:rPr>
          <w:rFonts w:ascii="David" w:cs="David" w:eastAsia="David" w:hAnsi="David"/>
          <w:b w:val="false"/>
          <w:bCs w:val="false"/>
          <w:sz w:val="24"/>
          <w:szCs w:val="24"/>
          <w:rtl/>
        </w:rPr>
        <w:t xml:space="preserve">ריקון יזום של אמוניה נוזלית או גזית המתחייב כתוצאה מאירוע חירום או תקלה יתבצע לפי שיקול דעתו של צוות החירום, כאשר הריקון של אמוניה נוזלית יתבצע אל תוך מיכל אמוניה נייד.</w:t>
      </w:r>
    </w:p>
    <w:p>
      <w:pPr>
        <w:bidi/>
        <w:spacing w:after="100" w:line="300"/>
        <w:jc w:val="right"/>
      </w:pPr>
      <w:r>
        <w:rPr>
          <w:rFonts w:ascii="David" w:cs="David" w:eastAsia="David" w:hAnsi="David"/>
          <w:b/>
          <w:bCs/>
          <w:sz w:val="24"/>
          <w:szCs w:val="24"/>
          <w:rtl/>
        </w:rPr>
        <w:t xml:space="preserve">4 </w:t>
      </w:r>
      <w:r>
        <w:rPr>
          <w:rFonts w:ascii="David" w:cs="David" w:eastAsia="David" w:hAnsi="David"/>
          <w:b w:val="false"/>
          <w:bCs w:val="false"/>
          <w:sz w:val="24"/>
          <w:szCs w:val="24"/>
          <w:rtl/>
        </w:rPr>
        <w:t xml:space="preserve">אין לרוקן אמוניה נוזלית לתוך מים, אלא לתוך מיכל ייעודי נייד בלבד.</w:t>
      </w:r>
    </w:p>
    <w:p>
      <w:pPr>
        <w:bidi/>
        <w:spacing w:after="100" w:line="300"/>
        <w:jc w:val="right"/>
      </w:pPr>
      <w:r>
        <w:rPr>
          <w:rFonts w:ascii="David" w:cs="David" w:eastAsia="David" w:hAnsi="David"/>
          <w:b/>
          <w:bCs/>
          <w:sz w:val="24"/>
          <w:szCs w:val="24"/>
          <w:rtl/>
        </w:rPr>
        <w:t xml:space="preserve">5 </w:t>
      </w:r>
      <w:r>
        <w:rPr>
          <w:rFonts w:ascii="David" w:cs="David" w:eastAsia="David" w:hAnsi="David"/>
          <w:b w:val="false"/>
          <w:bCs w:val="false"/>
          <w:sz w:val="24"/>
          <w:szCs w:val="24"/>
          <w:rtl/>
        </w:rPr>
        <w:t xml:space="preserve">ריקון של אמוניה גזית בלבד ניתן לבצע אל תוך מיכל מים מתאים, המצויד בחיבורי צנרת לאספקה רציפה של מי רשת זורמים, לשמירה על יחס הספיגה אמוניה/מים 1/25.</w:t>
      </w:r>
    </w:p>
    <w:p>
      <w:pPr>
        <w:bidi/>
        <w:spacing w:after="100" w:line="300"/>
        <w:jc w:val="right"/>
      </w:pPr>
      <w:r>
        <w:rPr>
          <w:rFonts w:ascii="David" w:cs="David" w:eastAsia="David" w:hAnsi="David"/>
          <w:b/>
          <w:bCs/>
          <w:sz w:val="24"/>
          <w:szCs w:val="24"/>
          <w:rtl/>
        </w:rPr>
        <w:t xml:space="preserve">6 </w:t>
      </w:r>
      <w:r>
        <w:rPr>
          <w:rFonts w:ascii="David" w:cs="David" w:eastAsia="David" w:hAnsi="David"/>
          <w:b w:val="false"/>
          <w:bCs w:val="false"/>
          <w:sz w:val="24"/>
          <w:szCs w:val="24"/>
          <w:rtl/>
        </w:rPr>
        <w:t xml:space="preserve">וודא כי מיכל המים (סעיף 5) יחובר לסידורי ניקוז המבטיחים ניקוז רציף של המים המהולים באמוניה ממנו אל מאגר מתאים (כאשר מדובר בכמות קטנה).</w:t>
      </w:r>
    </w:p>
    <w:p>
      <w:pPr>
        <w:bidi/>
        <w:spacing w:after="100" w:line="300"/>
        <w:jc w:val="right"/>
      </w:pPr>
      <w:r>
        <w:rPr>
          <w:rFonts w:ascii="David" w:cs="David" w:eastAsia="David" w:hAnsi="David"/>
          <w:b/>
          <w:bCs/>
          <w:sz w:val="24"/>
          <w:szCs w:val="24"/>
          <w:rtl/>
        </w:rPr>
        <w:t xml:space="preserve">7 </w:t>
      </w:r>
      <w:r>
        <w:rPr>
          <w:rFonts w:ascii="David" w:cs="David" w:eastAsia="David" w:hAnsi="David"/>
          <w:b w:val="false"/>
          <w:bCs w:val="false"/>
          <w:sz w:val="24"/>
          <w:szCs w:val="24"/>
          <w:rtl/>
        </w:rPr>
        <w:t xml:space="preserve">על העסק לתאם מראש ביצוע ריקון אמוניה גזית או נוזלית לשם שינויים במערכת עם הממונה במחוז, ולקבל את אישורו.</w:t>
      </w:r>
    </w:p>
    <w:p>
      <w:pPr>
        <w:bidi/>
        <w:spacing w:after="100" w:line="300"/>
        <w:jc w:val="right"/>
      </w:pPr>
      <w:r>
        <w:rPr>
          <w:rFonts w:ascii="David" w:cs="David" w:eastAsia="David" w:hAnsi="David"/>
          <w:b/>
          <w:bCs/>
          <w:sz w:val="24"/>
          <w:szCs w:val="24"/>
          <w:rtl/>
        </w:rPr>
        <w:t xml:space="preserve">8 </w:t>
      </w:r>
      <w:r>
        <w:rPr>
          <w:rFonts w:ascii="David" w:cs="David" w:eastAsia="David" w:hAnsi="David"/>
          <w:b w:val="false"/>
          <w:bCs w:val="false"/>
          <w:sz w:val="24"/>
          <w:szCs w:val="24"/>
          <w:rtl/>
        </w:rPr>
        <w:t xml:space="preserve">במקרה של ריקון אמוניה כתוצאה מאירוע חירום, וכשאין אפשרות להחזיר את האמוניה למערכת, וודא כי המיכל הייעודי מפונה מהאתר בהתאם לנהלי חומרים מסוכנים.</w:t>
      </w:r>
    </w:p>
    <w:p>
      <w:pPr>
        <w:bidi/>
        <w:spacing w:after="100" w:line="300"/>
        <w:jc w:val="right"/>
      </w:pPr>
      <w:r>
        <w:rPr>
          <w:rFonts w:ascii="David" w:cs="David" w:eastAsia="David" w:hAnsi="David"/>
          <w:b/>
          <w:bCs/>
          <w:sz w:val="24"/>
          <w:szCs w:val="24"/>
          <w:rtl/>
        </w:rPr>
        <w:t xml:space="preserve">9 </w:t>
      </w:r>
      <w:r>
        <w:rPr>
          <w:rFonts w:ascii="David" w:cs="David" w:eastAsia="David" w:hAnsi="David"/>
          <w:b w:val="false"/>
          <w:bCs w:val="false"/>
          <w:sz w:val="24"/>
          <w:szCs w:val="24"/>
          <w:rtl/>
        </w:rPr>
        <w:t xml:space="preserve">הריקון יתבצע רק מהברז הייעודי מחוץ לחדרי המדחסים. לפני הפעלתו יש לוודא שציודים אחרים אינם פתוחים לצנרת הריקון.</w:t>
      </w:r>
    </w:p>
    <w:p>
      <w:pPr>
        <w:bidi/>
        <w:spacing w:after="100" w:line="300"/>
        <w:jc w:val="right"/>
      </w:pPr>
      <w:r>
        <w:rPr>
          <w:rFonts w:ascii="David" w:cs="David" w:eastAsia="David" w:hAnsi="David"/>
          <w:b/>
          <w:bCs/>
          <w:sz w:val="24"/>
          <w:szCs w:val="24"/>
          <w:rtl/>
        </w:rPr>
        <w:t xml:space="preserve">10 </w:t>
      </w:r>
      <w:r>
        <w:rPr>
          <w:rFonts w:ascii="David" w:cs="David" w:eastAsia="David" w:hAnsi="David"/>
          <w:b w:val="false"/>
          <w:bCs w:val="false"/>
          <w:sz w:val="24"/>
          <w:szCs w:val="24"/>
          <w:rtl/>
        </w:rPr>
        <w:t xml:space="preserve">אין לרוקן אמוניה גזית ללא אישור מנהל המפעל (לאחר קבלת אישור מהממונה).</w:t>
      </w:r>
    </w:p>
    <w:p>
      <w:pPr>
        <w:bidi/>
        <w:spacing w:after="120" w:line="300"/>
        <w:jc w:val="right"/>
      </w:pPr>
      <w:r>
        <w:rPr>
          <w:rFonts w:ascii="David" w:cs="David" w:eastAsia="David" w:hAnsi="David"/>
          <w:b/>
          <w:bCs/>
          <w:sz w:val="26"/>
          <w:szCs w:val="26"/>
          <w:rtl/>
        </w:rPr>
        <w:t xml:space="preserve">11. נעילה ותיוג לפני עבודה על מדחס או צנרת אמוניה</w:t>
      </w:r>
    </w:p>
    <w:p>
      <w:pPr>
        <w:bidi/>
        <w:spacing w:after="100" w:line="300"/>
        <w:jc w:val="right"/>
      </w:pPr>
      <w:r>
        <w:rPr>
          <w:rFonts w:ascii="David" w:cs="David" w:eastAsia="David" w:hAnsi="David"/>
          <w:b/>
          <w:bCs/>
          <w:sz w:val="24"/>
          <w:szCs w:val="24"/>
          <w:rtl/>
        </w:rPr>
        <w:t xml:space="preserve">11 </w:t>
      </w:r>
      <w:r>
        <w:rPr>
          <w:rFonts w:ascii="David" w:cs="David" w:eastAsia="David" w:hAnsi="David"/>
          <w:b w:val="false"/>
          <w:bCs w:val="false"/>
          <w:sz w:val="24"/>
          <w:szCs w:val="24"/>
          <w:rtl/>
        </w:rPr>
        <w:t xml:space="preserve">הסעיף חל על כל עבודה שפותחת מדחס, צנרת או ציוד של מערכת האמוניה, של עובדי המפעל ושל קבלן חוץ.</w:t>
      </w:r>
    </w:p>
    <w:p>
      <w:pPr>
        <w:bidi/>
        <w:spacing w:after="100" w:line="300"/>
        <w:ind w:right="400"/>
        <w:jc w:val="right"/>
      </w:pPr>
      <w:r>
        <w:rPr>
          <w:rFonts w:ascii="David" w:cs="David" w:eastAsia="David" w:hAnsi="David"/>
          <w:b/>
          <w:bCs/>
          <w:sz w:val="24"/>
          <w:szCs w:val="24"/>
          <w:rtl/>
        </w:rPr>
        <w:t xml:space="preserve">11.1 </w:t>
      </w:r>
      <w:r>
        <w:rPr>
          <w:rFonts w:ascii="David" w:cs="David" w:eastAsia="David" w:hAnsi="David"/>
          <w:b w:val="false"/>
          <w:bCs w:val="false"/>
          <w:sz w:val="24"/>
          <w:szCs w:val="24"/>
          <w:rtl/>
        </w:rPr>
        <w:t xml:space="preserve">העבודה מתבצעת רק עם היתר עבודה בכתב.</w:t>
      </w:r>
    </w:p>
    <w:p>
      <w:pPr>
        <w:bidi/>
        <w:spacing w:after="100" w:line="300"/>
        <w:ind w:right="400"/>
        <w:jc w:val="right"/>
      </w:pPr>
      <w:r>
        <w:rPr>
          <w:rFonts w:ascii="David" w:cs="David" w:eastAsia="David" w:hAnsi="David"/>
          <w:b/>
          <w:bCs/>
          <w:sz w:val="24"/>
          <w:szCs w:val="24"/>
          <w:rtl/>
        </w:rPr>
        <w:t xml:space="preserve">11.2 </w:t>
      </w:r>
      <w:r>
        <w:rPr>
          <w:rFonts w:ascii="David" w:cs="David" w:eastAsia="David" w:hAnsi="David"/>
          <w:b w:val="false"/>
          <w:bCs w:val="false"/>
          <w:sz w:val="24"/>
          <w:szCs w:val="24"/>
          <w:rtl/>
        </w:rPr>
        <w:t xml:space="preserve">הקטע שבו עובדים מרוקן לפי סעיפים 1 עד 10.</w:t>
      </w:r>
    </w:p>
    <w:p>
      <w:pPr>
        <w:bidi/>
        <w:spacing w:after="100" w:line="300"/>
        <w:ind w:right="400"/>
        <w:jc w:val="right"/>
      </w:pPr>
      <w:r>
        <w:rPr>
          <w:rFonts w:ascii="David" w:cs="David" w:eastAsia="David" w:hAnsi="David"/>
          <w:b/>
          <w:bCs/>
          <w:sz w:val="24"/>
          <w:szCs w:val="24"/>
          <w:rtl/>
        </w:rPr>
        <w:t xml:space="preserve">11.3 </w:t>
      </w:r>
      <w:r>
        <w:rPr>
          <w:rFonts w:ascii="David" w:cs="David" w:eastAsia="David" w:hAnsi="David"/>
          <w:b w:val="false"/>
          <w:bCs w:val="false"/>
          <w:sz w:val="24"/>
          <w:szCs w:val="24"/>
          <w:rtl/>
        </w:rPr>
        <w:t xml:space="preserve">כל ברז שנסגר לבידוד הקטע ננעל במנעול ומסומן בתג של מנהל הקירור: שם, תאריך, "לא לפתוח - עבודה במערכת". המפתח נשאר אצל מנהל הקירור.</w:t>
      </w:r>
    </w:p>
    <w:p>
      <w:pPr>
        <w:bidi/>
        <w:spacing w:after="100" w:line="300"/>
        <w:ind w:right="400"/>
        <w:jc w:val="right"/>
      </w:pPr>
      <w:r>
        <w:rPr>
          <w:rFonts w:ascii="David" w:cs="David" w:eastAsia="David" w:hAnsi="David"/>
          <w:b/>
          <w:bCs/>
          <w:sz w:val="24"/>
          <w:szCs w:val="24"/>
          <w:rtl/>
        </w:rPr>
        <w:t xml:space="preserve">11.4 </w:t>
      </w:r>
      <w:r>
        <w:rPr>
          <w:rFonts w:ascii="David" w:cs="David" w:eastAsia="David" w:hAnsi="David"/>
          <w:b w:val="false"/>
          <w:bCs w:val="false"/>
          <w:sz w:val="24"/>
          <w:szCs w:val="24"/>
          <w:rtl/>
        </w:rPr>
        <w:t xml:space="preserve">לפני פתיחת הצנרת או המדחס מודדים בגלאי נייד בתוך הקטע. פותחים רק כשהגלאי מראה 0 ppm.</w:t>
      </w:r>
    </w:p>
    <w:p>
      <w:pPr>
        <w:bidi/>
        <w:spacing w:after="100" w:line="300"/>
        <w:ind w:right="400"/>
        <w:jc w:val="right"/>
      </w:pPr>
      <w:r>
        <w:rPr>
          <w:rFonts w:ascii="David" w:cs="David" w:eastAsia="David" w:hAnsi="David"/>
          <w:b/>
          <w:bCs/>
          <w:sz w:val="24"/>
          <w:szCs w:val="24"/>
          <w:rtl/>
        </w:rPr>
        <w:t xml:space="preserve">11.5 </w:t>
      </w:r>
      <w:r>
        <w:rPr>
          <w:rFonts w:ascii="David" w:cs="David" w:eastAsia="David" w:hAnsi="David"/>
          <w:b w:val="false"/>
          <w:bCs w:val="false"/>
          <w:sz w:val="24"/>
          <w:szCs w:val="24"/>
          <w:rtl/>
        </w:rPr>
        <w:t xml:space="preserve">הסרת המנעולים והתגים ופתיחת הברזים רק על ידי מנהל הקירור, אחרי סיום העבודה וסגירת היתר העבודה.</w:t>
      </w:r>
    </w:p>
    <w:p>
      <w:pPr>
        <w:bidi/>
        <w:spacing w:after="100" w:line="300"/>
        <w:ind w:right="400"/>
        <w:jc w:val="right"/>
      </w:pPr>
      <w:r>
        <w:rPr>
          <w:rFonts w:ascii="David" w:cs="David" w:eastAsia="David" w:hAnsi="David"/>
          <w:b/>
          <w:bCs/>
          <w:sz w:val="24"/>
          <w:szCs w:val="24"/>
          <w:rtl/>
        </w:rPr>
        <w:t xml:space="preserve">11.6 </w:t>
      </w:r>
      <w:r>
        <w:rPr>
          <w:rFonts w:ascii="David" w:cs="David" w:eastAsia="David" w:hAnsi="David"/>
          <w:b w:val="false"/>
          <w:bCs w:val="false"/>
          <w:sz w:val="24"/>
          <w:szCs w:val="24"/>
          <w:rtl/>
        </w:rPr>
        <w:t xml:space="preserve">קבלן חוץ: הסעיף הזה חל עליו בנוסף להוראות הבטיחות לקבלני חוץ (טופס 146.03).</w:t>
      </w:r>
    </w:p>
    <w:p>
      <w:pPr>
        <w:bidi/>
        <w:spacing w:after="200" w:line="300"/>
        <w:jc w:val="right"/>
      </w:pPr>
      <w:r>
        <w:rPr>
          <w:rFonts w:ascii="David" w:cs="David" w:eastAsia="David" w:hAnsi="David"/>
          <w:b w:val="false"/>
          <w:bCs w:val="false"/>
          <w:sz w:val="24"/>
          <w:szCs w:val="24"/>
          <w:rtl/>
        </w:rPr>
        <w:t xml:space="preserve"/>
      </w:r>
    </w:p>
    <w:p>
      <w:pPr>
        <w:bidi/>
        <w:spacing w:after="120" w:line="300"/>
        <w:jc w:val="right"/>
      </w:pPr>
      <w:r>
        <w:rPr>
          <w:rFonts w:ascii="David" w:cs="David" w:eastAsia="David" w:hAnsi="David"/>
          <w:b/>
          <w:bCs/>
          <w:sz w:val="26"/>
          <w:szCs w:val="26"/>
          <w:rtl/>
        </w:rPr>
        <w:t xml:space="preserve">רישום שינויים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tblHeader/>
        </w:trPr>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מהדורה / תאריך</w:t>
            </w:r>
          </w:p>
        </w:tc>
        <w:tc>
          <w:tcPr>
            <w:tcW w:type="dxa" w:w="1600"/>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סעיף</w:t>
            </w:r>
          </w:p>
        </w:tc>
        <w:tc>
          <w:tcPr>
            <w:tcW w:type="dxa" w:w="6438"/>
            <w:tcBorders>
              <w:top w:val="single" w:color="000000" w:sz="6"/>
              <w:left w:val="single" w:color="000000" w:sz="6"/>
              <w:bottom w:val="single" w:color="000000" w:sz="6"/>
              <w:right w:val="single" w:color="000000" w:sz="6"/>
            </w:tcBorders>
            <w:shd w:fill="D9D9D9" w:color="auto" w:val="clear"/>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מה שונה</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19.03.2015</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1-10</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מהדורה קודמת.</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11</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סעיף חדש: נעילה ותיוג, בדיקת 0 ppm בגלאי נייד לפני פתיחה, היתר עבודה, וחל גם על קבלן חוץ.</w:t>
            </w:r>
          </w:p>
        </w:tc>
      </w:tr>
      <w:tr>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16.10.2026</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val="false"/>
                <w:bCs w:val="false"/>
                <w:sz w:val="22"/>
                <w:szCs w:val="22"/>
                <w:rtl/>
              </w:rPr>
              <w:t xml:space="preserve">כותרת</w:t>
            </w:r>
          </w:p>
        </w:tc>
        <w:tc>
          <w:tcPr>
            <w:tcW w:type="dxa" w:w="6438"/>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right"/>
            </w:pPr>
            <w:r>
              <w:rPr>
                <w:rFonts w:ascii="David" w:cs="David" w:eastAsia="David" w:hAnsi="David"/>
                <w:b w:val="false"/>
                <w:bCs w:val="false"/>
                <w:sz w:val="22"/>
                <w:szCs w:val="22"/>
                <w:rtl/>
              </w:rPr>
              <w:t xml:space="preserve">נוספו נכתב ע"י ואושר ע"י, ורישום שינויים.</w:t>
            </w:r>
          </w:p>
        </w:tc>
      </w:tr>
    </w:tbl>
    <w:sectPr>
      <w:headerReference w:type="default" r:id="rId7"/>
      <w:footerReference w:type="default" r:id="rId8"/>
      <w:pgSz w:w="11906" w:h="16838" w:orient="portrait"/>
      <w:pgMar w:top="1440" w:right="1134" w:bottom="1200" w:left="1134"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00"/>
      <w:jc w:val="center"/>
    </w:pPr>
    <w:r>
      <w:rPr>
        <w:rFonts w:ascii="David" w:cs="David" w:eastAsia="David" w:hAnsi="David"/>
        <w:b w:val="false"/>
        <w:bCs w:val="false"/>
        <w:color w:val="666666"/>
        <w:sz w:val="16"/>
        <w:szCs w:val="16"/>
        <w:rtl/>
      </w:rPr>
      <w:t xml:space="preserve">העותק המבוקר נמצא אצל מנהל הבטיחות. עותק מודפס אינו מבוקר.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c>
        <w:tcPr>
          <w:tcW w:type="dxa" w:w="2200"/>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jc w:val="center"/>
          </w:pPr>
          <w:r>
            <w:drawing>
              <wp:inline distT="0" distB="0" distL="0" distR="0">
                <wp:extent cx="9144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609600"/>
                        </a:xfrm>
                        <a:prstGeom prst="rect">
                          <a:avLst/>
                        </a:prstGeom>
                      </pic:spPr>
                    </pic:pic>
                  </a:graphicData>
                </a:graphic>
              </wp:inline>
            </w:drawing>
          </w:r>
        </w:p>
      </w:tc>
      <w:tc>
        <w:tcPr>
          <w:tcW w:type="dxa" w:w="4038"/>
          <w:vMerge w:val="restart"/>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6"/>
              <w:szCs w:val="26"/>
              <w:rtl/>
            </w:rPr>
            <w:t xml:space="preserve">הנחיות לריקון יזום של אמוניה עקב תקלה, שיפוץ או הרחבה</w:t>
          </w: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spacing w:after="0" w:line="300"/>
            <w:jc w:val="center"/>
          </w:pPr>
          <w:r>
            <w:rPr>
              <w:rFonts w:ascii="David" w:cs="David" w:eastAsia="David" w:hAnsi="David"/>
              <w:b/>
              <w:bCs/>
              <w:sz w:val="22"/>
              <w:szCs w:val="22"/>
              <w:rtl/>
            </w:rPr>
            <w:t xml:space="preserve">תיעוד 26.04</w:t>
          </w:r>
        </w:p>
      </w:tc>
    </w:tr>
    <w:t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3400"/>
          <w:tcBorders>
            <w:top w:val="single" w:color="000000" w:sz="6"/>
            <w:left w:val="single" w:color="000000" w:sz="6"/>
            <w:bottom w:val="single" w:color="000000" w:sz="6"/>
            <w:right w:val="single" w:color="000000" w:sz="6"/>
          </w:tcBorders>
          <w:tcMar>
            <w:top w:type="dxa" w:w="60"/>
            <w:left w:type="dxa" w:w="100"/>
            <w:bottom w:type="dxa" w:w="60"/>
            <w:right w:type="dxa" w:w="100"/>
          </w:tcMar>
          <w:vAlign w:val="center"/>
        </w:tcPr>
        <w:p>
          <w:pPr>
            <w:bidi/>
            <w:jc w:val="center"/>
          </w:pPr>
          <w:r>
            <w:rPr>
              <w:rFonts w:ascii="David" w:cs="David" w:eastAsia="David" w:hAnsi="David"/>
              <w:b w:val="false"/>
              <w:bCs w:val="false"/>
              <w:sz w:val="20"/>
              <w:szCs w:val="20"/>
              <w:rtl/>
            </w:rPr>
            <w:t xml:space="preserve">עמוד </w:t>
          </w:r>
          <w:r>
            <w:rPr>
              <w:rFonts w:ascii="David" w:cs="David" w:eastAsia="David" w:hAnsi="David"/>
              <w:sz w:val="20"/>
              <w:szCs w:val="20"/>
            </w:rPr>
            <w:fldChar w:fldCharType="begin"/>
            <w:instrText xml:space="preserve">PAGE</w:instrText>
            <w:fldChar w:fldCharType="separate"/>
            <w:fldChar w:fldCharType="end"/>
          </w:r>
          <w:r>
            <w:rPr>
              <w:rFonts w:ascii="David" w:cs="David" w:eastAsia="David" w:hAnsi="David"/>
              <w:b w:val="false"/>
              <w:bCs w:val="false"/>
              <w:sz w:val="20"/>
              <w:szCs w:val="20"/>
              <w:rtl/>
            </w:rPr>
            <w:t xml:space="preserve"> מתוך </w:t>
          </w:r>
          <w:r>
            <w:rPr>
              <w:rFonts w:ascii="David" w:cs="David" w:eastAsia="David" w:hAnsi="David"/>
              <w:sz w:val="20"/>
              <w:szCs w:val="20"/>
            </w:rPr>
            <w:fldChar w:fldCharType="begin"/>
            <w:instrText xml:space="preserve">NUMPAGES</w:instrText>
            <w:fldChar w:fldCharType="separate"/>
            <w:fldChar w:fldCharType="end"/>
          </w:r>
        </w:p>
        <w:p>
          <w:pPr>
            <w:bidi/>
            <w:spacing w:after="0" w:line="300"/>
            <w:jc w:val="center"/>
          </w:pPr>
          <w:r>
            <w:rPr>
              <w:rFonts w:ascii="David" w:cs="David" w:eastAsia="David" w:hAnsi="David"/>
              <w:b w:val="false"/>
              <w:bCs w:val="false"/>
              <w:sz w:val="20"/>
              <w:szCs w:val="20"/>
              <w:rtl/>
            </w:rPr>
            <w:t xml:space="preserve">ת. עדכון: 16.10.2026</w:t>
          </w:r>
        </w:p>
      </w:tc>
    </w:tr>
  </w:tbl>
  <w:p>
    <w:pPr>
      <w:bidi/>
      <w:spacing w:after="0" w:line="300"/>
      <w:jc w:val="right"/>
    </w:pPr>
    <w:r>
      <w:rPr>
        <w:rFonts w:ascii="David" w:cs="David" w:eastAsia="David" w:hAnsi="David"/>
        <w:b w:val="false"/>
        <w:bCs w:val="false"/>
        <w:sz w:val="24"/>
        <w:szCs w:val="24"/>
        <w:rt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de087ed1a7bd735ce750c83b3c8527d803a2e6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2026-10-16T09:07:36.569Z</dcterms:created>
  <dcterms:modified xsi:type="dcterms:W3CDTF">2026-10-16T09:07:36.569Z</dcterms:modified>
</cp:coreProperties>
</file>

<file path=docProps/custom.xml><?xml version="1.0" encoding="utf-8"?>
<Properties xmlns="http://schemas.openxmlformats.org/officeDocument/2006/custom-properties" xmlns:vt="http://schemas.openxmlformats.org/officeDocument/2006/docPropsVTypes"/>
</file>