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77777777" w:rsidR="00715D55" w:rsidRDefault="00D8535D">
      <w:r>
        <w:rPr>
          <w:b/>
        </w:rPr>
        <w:t>Effects of spatially heterogeneous lakeside development on nearshore biotic communities in a large, deep, oligotrophic lake (Siberia)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1A31B4E4" w:rsidR="00715D55" w:rsidRDefault="00D8535D">
      <w:pPr>
        <w:rPr>
          <w:b/>
        </w:rPr>
      </w:pPr>
      <w:r>
        <w:rPr>
          <w:b/>
        </w:rPr>
        <w:lastRenderedPageBreak/>
        <w:t>Abstract (2</w:t>
      </w:r>
      <w:r w:rsidR="00777C14">
        <w:rPr>
          <w:b/>
        </w:rPr>
        <w:t>24</w:t>
      </w:r>
      <w:r>
        <w:rPr>
          <w:b/>
        </w:rPr>
        <w:t>/250 words)</w:t>
      </w:r>
    </w:p>
    <w:p w14:paraId="6365BCF6" w14:textId="77777777" w:rsidR="00715D55" w:rsidRDefault="00715D55"/>
    <w:p w14:paraId="510F10FE" w14:textId="4A98FDDE"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 </w:t>
      </w:r>
      <w:r>
        <w:rPr>
          <w:rFonts w:ascii="Times New Roman" w:eastAsia="Times New Roman" w:hAnsi="Times New Roman" w:cs="Times New Roman"/>
          <w:sz w:val="24"/>
          <w:szCs w:val="24"/>
          <w:highlight w:val="white"/>
        </w:rPr>
        <w:t>and</w:t>
      </w:r>
      <w:r w:rsidR="00D8535D">
        <w:rPr>
          <w:rFonts w:ascii="Times New Roman" w:eastAsia="Times New Roman" w:hAnsi="Times New Roman" w:cs="Times New Roman"/>
          <w:sz w:val="24"/>
          <w:szCs w:val="24"/>
          <w:highlight w:val="white"/>
        </w:rPr>
        <w:t xml:space="preserve"> corresponding ecological responses. Sewage released from such lakeside development is a type of heterogeneous, pervasive, and frequently high impact disturbance with effects most immediately observed among littoral biota. Lake Baikal, the world’s most ancient, voluminous, and biodiverse lake, has been suspected of localized sewage pollution from adjacent lakeside settlements, and nearshore benthic communities appear to be responding. To test the </w:t>
      </w:r>
      <w:r w:rsidR="001F0393">
        <w:rPr>
          <w:rFonts w:ascii="Times New Roman" w:eastAsia="Times New Roman" w:hAnsi="Times New Roman" w:cs="Times New Roman"/>
          <w:sz w:val="24"/>
          <w:szCs w:val="24"/>
          <w:highlight w:val="white"/>
        </w:rPr>
        <w:t xml:space="preserve">spatial </w:t>
      </w:r>
      <w:r w:rsidR="00D8535D">
        <w:rPr>
          <w:rFonts w:ascii="Times New Roman" w:eastAsia="Times New Roman" w:hAnsi="Times New Roman" w:cs="Times New Roman"/>
          <w:sz w:val="24"/>
          <w:szCs w:val="24"/>
          <w:highlight w:val="white"/>
        </w:rPr>
        <w:t xml:space="preserve">extent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a 40-km transect of the southwestern shore for sewage-specific indicators, including pharmaceuticals and personal care products (PPCPs) and microplastics. To examine community responses, periphyton and macroinvertebrate abundance as well as trophic interactions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 to the size of and distance from the nearest southern human settlement. Similarly, </w:t>
      </w:r>
      <w:proofErr w:type="spellStart"/>
      <w:r w:rsidR="00D8535D">
        <w:rPr>
          <w:rFonts w:ascii="Times New Roman" w:eastAsia="Times New Roman" w:hAnsi="Times New Roman" w:cs="Times New Roman"/>
          <w:sz w:val="24"/>
          <w:szCs w:val="24"/>
          <w:highlight w:val="white"/>
        </w:rPr>
        <w:t>mollusc</w:t>
      </w:r>
      <w:proofErr w:type="spellEnd"/>
      <w:r w:rsidR="00D8535D">
        <w:rPr>
          <w:rFonts w:ascii="Times New Roman" w:eastAsia="Times New Roman" w:hAnsi="Times New Roman" w:cs="Times New Roman"/>
          <w:sz w:val="24"/>
          <w:szCs w:val="24"/>
          <w:highlight w:val="white"/>
        </w:rPr>
        <w:t xml:space="preserve"> and diatom abundances decreased with increasing lakeside development. Periphyton and macroinvertebrate stable isotope analysis and essential fatty acid compositions suggested that despite differences in community composition among sites,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 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 xml:space="preserve">considering </w:t>
      </w:r>
      <w:r w:rsidR="006D5521">
        <w:rPr>
          <w:rFonts w:ascii="Times New Roman" w:eastAsia="Times New Roman" w:hAnsi="Times New Roman" w:cs="Times New Roman"/>
          <w:sz w:val="24"/>
          <w:szCs w:val="24"/>
          <w:highlight w:val="white"/>
        </w:rPr>
        <w:t xml:space="preserve">the potential environmental consequences from </w:t>
      </w:r>
      <w:r w:rsidR="00D8535D">
        <w:rPr>
          <w:rFonts w:ascii="Times New Roman" w:eastAsia="Times New Roman" w:hAnsi="Times New Roman" w:cs="Times New Roman"/>
          <w:sz w:val="24"/>
          <w:szCs w:val="24"/>
          <w:highlight w:val="white"/>
        </w:rPr>
        <w:t>growing tourism hot spots (~300,000 tourists annually) in tandem with developing wastewater management.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149B0BDE" w14:textId="0978E64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 disturbances </w:t>
      </w:r>
      <w:r w:rsidR="00A011BB">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00A011BB">
        <w:rPr>
          <w:rFonts w:ascii="Times New Roman" w:eastAsia="Times New Roman" w:hAnsi="Times New Roman" w:cs="Times New Roman"/>
          <w:sz w:val="24"/>
          <w:szCs w:val="24"/>
        </w:rPr>
        <w:t>eco</w:t>
      </w:r>
      <w:r>
        <w:rPr>
          <w:rFonts w:ascii="Times New Roman" w:eastAsia="Times New Roman" w:hAnsi="Times New Roman" w:cs="Times New Roman"/>
          <w:sz w:val="24"/>
          <w:szCs w:val="24"/>
        </w:rPr>
        <w:t xml:space="preserve">systems disrupt a suite of biological processes, ranging from physiological </w:t>
      </w:r>
      <w:r w:rsidR="006E0A5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{"citationID":"pbDAYlXc","properties":{"formattedCitation":"(Sokolova and Lannig 2008)","plainCitation":"(Sokolova and Lannig 2008)","noteIndex":0},"citationItems":[{"id":785,"uris":["http://zotero.org/users/2645460/items/PVW8X4MT"],"uri":["http://zotero.org/users/2645460/items/PVW8X4MT"],"itemData":{"id":785,"type":"article-journal","container-title":"Climate Research","DOI":"10.3354/cr00764","ISSN":"0936-577X, 1616-1572","issue":"2-3","language":"en","page":"181-201","source":"CrossRef","title":"Interactive effects of metal pollution and temperature on metabolism in aquatic ectotherms: implications of global climate change","title-short":"Interactive effects of metal pollution and temperature on metabolism in aquatic ectotherms","volume":"37","author":[{"family":"Sokolova","given":"Im"},{"family":"Lannig","given":"G"}],"issued":{"date-parts":[["2008",10,16]]}}}],"schema":"https://github.com/citation-style-language/schema/raw/master/csl-citation.json"} </w:instrText>
      </w:r>
      <w:r w:rsidR="006E0A5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proofErr w:type="spellStart"/>
      <w:r w:rsidR="00B803E2" w:rsidRPr="00B803E2">
        <w:rPr>
          <w:rFonts w:ascii="Times New Roman" w:hAnsi="Times New Roman" w:cs="Times New Roman"/>
          <w:sz w:val="24"/>
        </w:rPr>
        <w:t>Sokolova</w:t>
      </w:r>
      <w:proofErr w:type="spellEnd"/>
      <w:r w:rsidR="00B803E2" w:rsidRPr="00B803E2">
        <w:rPr>
          <w:rFonts w:ascii="Times New Roman" w:hAnsi="Times New Roman" w:cs="Times New Roman"/>
          <w:sz w:val="24"/>
        </w:rPr>
        <w:t xml:space="preserve"> and </w:t>
      </w:r>
      <w:proofErr w:type="spellStart"/>
      <w:r w:rsidR="00B803E2" w:rsidRPr="00B803E2">
        <w:rPr>
          <w:rFonts w:ascii="Times New Roman" w:hAnsi="Times New Roman" w:cs="Times New Roman"/>
          <w:sz w:val="24"/>
        </w:rPr>
        <w:t>Lannig</w:t>
      </w:r>
      <w:proofErr w:type="spellEnd"/>
      <w:r w:rsidR="00B803E2" w:rsidRPr="00B803E2">
        <w:rPr>
          <w:rFonts w:ascii="Times New Roman" w:hAnsi="Times New Roman" w:cs="Times New Roman"/>
          <w:sz w:val="24"/>
        </w:rPr>
        <w:t xml:space="preserve"> 2008)</w:t>
      </w:r>
      <w:r w:rsidR="006E0A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{"citationID":"vSvQcyqA","properties":{"formattedCitation":"(Longcore and Rich 2004)","plainCitation":"(Longcore and Rich 2004)","noteIndex":0},"citationItems":[{"id":720,"uris":["http://zotero.org/users/2645460/items/NDZN5NGD"],"uri":["http://zotero.org/users/2645460/items/NDZN5NGD"],"itemData":{"id":720,"type":"article-journal","container-title":"Frontiers in Ecology and the Environment","DOI":"10.2307/3868314","ISSN":"15409295","issue":"4","page":"191","source":"CrossRef","title":"Ecological Light Pollution","volume":"2","author":[{"family":"Longcore","given":"Travis"},{"family":"Rich","given":"Catherine"}],"issued":{"date-parts":[["2004",5]]}}}],"schema":"https://github.com/citation-style-language/schema/raw/master/csl-citation.json"}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proofErr w:type="spellStart"/>
      <w:r w:rsidR="00B803E2" w:rsidRPr="00B803E2">
        <w:rPr>
          <w:rFonts w:ascii="Times New Roman" w:hAnsi="Times New Roman" w:cs="Times New Roman"/>
          <w:sz w:val="24"/>
        </w:rPr>
        <w:t>Longcore</w:t>
      </w:r>
      <w:proofErr w:type="spellEnd"/>
      <w:r w:rsidR="00B803E2" w:rsidRPr="00B803E2">
        <w:rPr>
          <w:rFonts w:ascii="Times New Roman" w:hAnsi="Times New Roman" w:cs="Times New Roman"/>
          <w:sz w:val="24"/>
        </w:rPr>
        <w:t xml:space="preserve"> and Rich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population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{"citationID":"1wvjiGgk","properties":{"formattedCitation":"(Crouse et al. 1987)","plainCitation":"(Crouse et al. 1987)","noteIndex":0},"citationItems":[{"id":730,"uris":["http://zotero.org/users/2645460/items/I9F98JHN"],"uri":["http://zotero.org/users/2645460/items/I9F98JHN"],"itemData":{"id":730,"type":"article-journal","container-title":"Ecology","DOI":"10.2307/1939225","ISSN":"00129658","issue":"5","language":"en","page":"1412-1423","source":"CrossRef","title":"A Stage-Based Population Model for Loggerhead Sea Turtles and Implications for Conservation","volume":"68","author":[{"family":"Crouse","given":"Deborah T."},{"family":"Crowder","given":"Larry B."},{"family":"Caswell","given":"Hal"}],"issued":{"date-parts":[["1987",10]]}}}],"schema":"https://github.com/citation-style-language/schema/raw/master/csl-citation.json"}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Crouse et al. 1987)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community dynamics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{"citationID":"QRQLlm3s","properties":{"formattedCitation":"(Ellis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Ellis et al. 2011)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human populations are concentrated in localized areas, human disturbance, and therefore organismal responses to that disturbance, can also be concentrated spatially, creating a “hot spot” disturbance landscape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{"citationID":"9t6WYwTZ","properties":{"formattedCitation":"(Harper et al. 2005)","plainCitation":"(Harper et al. 2005)","noteIndex":0},"citationItems":[{"id":542,"uris":["http://zotero.org/users/2645460/items/4B6HAJRZ"],"uri":["http://zotero.org/users/2645460/items/4B6HAJRZ"],"itemData":{"id":542,"type":"article-journal","abstract":"Although forest edges have been studied extensively as an important consequence offragmenta-\n tion, a unifying theory of edge influence has yet to be developed. Our objective was to take steps toward the\n development of such a theory by () synthesizing the current knowledge of patterns of forest structure and\n composition at anthropogenically created forest edges, (2) developing hypotheses about the magnitude and\n distance of edge influence that consider the ecologictalprcesses inencing tes patterns, and (3) identifying\n needs for future research. We compiled data from 44 published studies on edge influence on forest structure\n and composition in boreal, temperate, and tropical forests. Abiotic and biotic gradients near created forest\n edges generate a set of primary responses to edge creation. Indirect effects from these primary responses and\n the original edge gradient perpetuate edge influence, leading to secondary responses. Further changes in veg-\n etation affect the edge environment, resulting in ongoing edge dynamics. We suggest that the magnitude and\n distance of edge influence are a directfunction of the contrast in structure and composition between adjacent\n communities on either side of the edge. Localfactors such as climate, edge characteristics, stand attributes, and\n biotic factors affect patch contrast. Regional factors define the context within which to assess the ecological\n significance of edge influence (the degree to which the edge habitat differs from interior forest habitat). Our\n hypotheses will help predict edge influence on structure and composition in forested ecosystems, an important\n consideration for conservation. Forfuture research on forest edges in fragmented landscapes, we encourage the\n testing of our hypotheses, the use of standardized methodology, complete descriptions of study sites, studies on\n other types of edges, synthesis of edge influence on different components of the ecosystem, and investigations\n of edges in a landscape context.","container-title":"Conservation Biology","issue":"3","page":"768-782","title":"Edge Influence on Forest Structure and Composition in Fragmented Landscapes","volume":"19","author":[{"family":"Harper","given":"Karen A."},{"family":"McDonald","given":"S. Ellen"},{"family":"Burton","given":"Phillip J."},{"family":"Chen","given":"Jiquan"},{"family":"Brosofske","given":"Kimberley D."},{"family":"Saunders","given":"Sari C."},{"family":"Euskirchen","given":"Eugénie S."},{"family":"Roberts","given":"Dar"},{"family":"Jaiteh","given":"Malanding S."},{"family":"Esseen","given":"Per-Anders"}],"issued":{"date-parts":[["2005",6]]}}}],"schema":"https://github.com/citation-style-language/schema/raw/master/csl-citation.json"}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(Harper et al. 2005)</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example, constructing a boat dock within a lake can abruptly </w:t>
      </w:r>
      <w:r w:rsidR="007A0023">
        <w:rPr>
          <w:rFonts w:ascii="Times New Roman" w:eastAsia="Times New Roman" w:hAnsi="Times New Roman" w:cs="Times New Roman"/>
          <w:sz w:val="24"/>
          <w:szCs w:val="24"/>
        </w:rPr>
        <w:t xml:space="preserve">reduce usability of </w:t>
      </w:r>
      <w:r>
        <w:rPr>
          <w:rFonts w:ascii="Times New Roman" w:eastAsia="Times New Roman" w:hAnsi="Times New Roman" w:cs="Times New Roman"/>
          <w:sz w:val="24"/>
          <w:szCs w:val="24"/>
        </w:rPr>
        <w:t>fish spawning</w:t>
      </w:r>
      <w:r w:rsidR="007A0023">
        <w:rPr>
          <w:rFonts w:ascii="Times New Roman" w:eastAsia="Times New Roman" w:hAnsi="Times New Roman" w:cs="Times New Roman"/>
          <w:sz w:val="24"/>
          <w:szCs w:val="24"/>
        </w:rPr>
        <w:t xml:space="preserve"> habitat</w:t>
      </w:r>
      <w:r>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{"citationID":"402PgrxA","properties":{"formattedCitation":"(Scheuerell and Schindler 2004)","plainCitation":"(Scheuerell and Schindler 2004)","noteIndex":0},"citationItems":[{"id":772,"uris":["http://zotero.org/users/2645460/items/7CSWIPTP"],"uri":["http://zotero.org/users/2645460/items/7CSWIPTP"],"itemData":{"id":772,"type":"article-journal","container-title":"Ecosystems","DOI":"10.1007/s10021-003-0214-0","ISSN":"1432-9840, 1435-0629","issue":"1","page":"98-106","source":"CrossRef","title":"Changes in the Spatial Distribution of Fishes in Lakes Along a Residential Development Gradient","volume":"7","author":[{"family":"Scheuerell","given":"Mark D."},{"family":"Schindler","given":"Daniel E."}],"issued":{"date-parts":[["2004",2,1]]}}}],"schema":"https://github.com/citation-style-language/schema/raw/master/csl-citation.json"}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(Scheuerell and Schindler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Similarly, toxicants from human activities such as aluminum production, may threaten various ontogenetic stages and ecological communities depending on the co-location of toxicants and biological processes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{"citationID":"bxL46ufo","properties":{"formattedCitation":"(Ginn et al. 2007)","plainCitation":"(Ginn et al. 2007)","noteIndex":0},"citationItems":[{"id":845,"uris":["http://zotero.org/users/2645460/items/XUQ47Z8M"],"uri":["http://zotero.org/users/2645460/items/XUQ47Z8M"],"itemData":{"id":845,"type":"article-journal","container-title":"Computing in Science &amp; Engineering","issue":"2","page":"40–49","source":"Google Scholar","title":"Explaining\" Noise\" as Environmental Variations in Population Dynamics","volume":"9","author":[{"family":"Ginn","given":"Timothy R."},{"family":"Loge","given":"Frank J."},{"family":"Scheibe","given":"Timothy D."}],"issued":{"date-parts":[["2007"]]}}}],"schema":"https://github.com/citation-style-language/schema/raw/master/csl-citation.json"}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(Ginn et al. 2007)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Further, multiple simultaneous disturbances, whether considered anthropogenic or “natural,” may amplify ecological responses if disturbances co-occur with sensitive biota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{"citationID":"gbE3D6RW","properties":{"formattedCitation":"(Franklin et al. 2000; Lake 2000)","plainCitation":"(Franklin et al. 2000; Lake 2000)","noteIndex":0},"citationItems":[{"id":431,"uris":["http://zotero.org/users/2645460/items/ZFE97WGA"],"uri":["http://zotero.org/users/2645460/items/ZFE97WGA"],"itemData":{"id":431,"type":"article-journal","container-title":"Conservation in Practice","issue":"1","page":"8–17","source":"Google Scholar","title":"Threads of continuity","volume":"1","author":[{"family":"Franklin","given":"Jerry F."},{"family":"Lindenmayer","given":"David"},{"family":"MacMahon","given":"James A."},{"family":"McKee","given":"Arthur"},{"family":"Magnuson","given":"John"},{"family":"Perry","given":"David A."},{"family":"Waide","given":"Robert"},{"family":"Foster","given":"David"}],"issued":{"date-parts":[["2000"]]}}},{"id":430,"uris":["http://zotero.org/users/2645460/items/6E5SHCDM"],"uri":["http://zotero.org/users/2645460/items/6E5SHCDM"],"itemData":{"id":430,"type":"article-journal","container-title":"Journal of the north american Benthological society","issue":"4","page":"573–592","source":"Google Scholar","title":"Disturbance, patchiness, and diversity in streams","volume":"19","author":[{"family":"Lake","given":"P. S."}],"issued":{"date-parts":[["2000"]]}}}],"schema":"https://github.com/citation-style-language/schema/raw/master/csl-citation.json"}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(Franklin et al. 2000; Lake 2000)</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Given the heterogeneity of human disturbances, abiotic environments, and biological systems, heterogeneity </w:t>
      </w:r>
      <w:r w:rsidR="00A011B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 specific disturbance as well as between co-occurring disturbances can produce a range of ecological responses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{"citationID":"Xp18Uvwe","properties":{"formattedCitation":"(Carpenter et al. 2001)","plainCitation":"(Carpenter et al. 2001)","noteIndex":0},"citationItems":[{"id":775,"uris":["http://zotero.org/users/2645460/items/INPTNUT3"],"uri":["http://zotero.org/users/2645460/items/INPTNUT3"],"itemData":{"id":775,"type":"article-journal","container-title":"Ecosystems","DOI":"10.1007/s10021-001-0045-9","ISSN":"1435-0629","issue":"8","language":"en","page":"765-781","source":"CrossRef","title":"From Metaphor to Measurement: Resilience of What to What?","title-short":"From Metaphor to Measurement","volume":"4","author":[{"family":"Carpenter","given":"Steve"},{"family":"Walker","given":"Brian"},{"family":"Anderies","given":"J. Marty"},{"family":"Abel","given":"Nick"}],"issued":{"date-parts":[["2001",12]]}}}],"schema":"https://github.com/citation-style-language/schema/raw/master/csl-citation.json"}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1B22EFDC" w14:textId="2B038800" w:rsidR="00715D55" w:rsidRDefault="005F434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Edges where ecosystems meet, such as the nearshore area in lakes, present an opportunity to study heterogeneous disturbance as the biota directly interface with two abutting systems. </w:t>
      </w:r>
      <w:r w:rsidR="00CE567A">
        <w:rPr>
          <w:rFonts w:ascii="Times New Roman" w:eastAsia="Times New Roman" w:hAnsi="Times New Roman" w:cs="Times New Roman"/>
          <w:sz w:val="24"/>
          <w:szCs w:val="24"/>
        </w:rPr>
        <w:t xml:space="preserve">In </w:t>
      </w:r>
      <w:r w:rsidR="00CE567A">
        <w:rPr>
          <w:rFonts w:ascii="Times New Roman" w:eastAsia="Times New Roman" w:hAnsi="Times New Roman" w:cs="Times New Roman"/>
          <w:sz w:val="24"/>
          <w:szCs w:val="24"/>
        </w:rPr>
        <w:lastRenderedPageBreak/>
        <w:t xml:space="preserve">the case of lakes, </w:t>
      </w:r>
      <w:r w:rsidR="00D8535D">
        <w:rPr>
          <w:rFonts w:ascii="Times New Roman" w:eastAsia="Times New Roman" w:hAnsi="Times New Roman" w:cs="Times New Roman"/>
          <w:sz w:val="24"/>
          <w:szCs w:val="24"/>
        </w:rPr>
        <w:t xml:space="preserve">human settlements tend to be near to the land-water interface, and littoral organisms’ close proximity to the shoreline makes them susceptible to </w:t>
      </w:r>
      <w:r w:rsidR="00A011BB">
        <w:rPr>
          <w:rFonts w:ascii="Times New Roman" w:eastAsia="Times New Roman" w:hAnsi="Times New Roman" w:cs="Times New Roman"/>
          <w:sz w:val="24"/>
          <w:szCs w:val="24"/>
        </w:rPr>
        <w:t>human disturbances</w:t>
      </w:r>
      <w:r w:rsidR="00D8535D">
        <w:rPr>
          <w:rFonts w:ascii="Times New Roman" w:eastAsia="Times New Roman" w:hAnsi="Times New Roman" w:cs="Times New Roman"/>
          <w:sz w:val="24"/>
          <w:szCs w:val="24"/>
        </w:rPr>
        <w:t xml:space="preserve"> such as sewage release</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{"citationID":"320hkULk","properties":{"formattedCitation":"(Carpenter et al. 2005; Rosenberger et al. 2008)","plainCitation":"(Carpenter et al. 2005; Rosenberger et al. 2008)","noteIndex":0},"citationItems":[{"id":2601,"uris":["http://zotero.org/users/2645460/items/NBJHSCAS"],"uri":["http://zotero.org/users/2645460/items/NBJHSCAS"],"itemData":{"id":2601,"type":"article-journal","abstract":"Whole-lake additions of dissolved inorganic 13C were used to measure allochthony (the terrestrial contribution of organic carbon to aquatic consumers) in two unproductive lakes (Paul and Peter Lakes in 2001), a nutrient-enriched lake (Peter Lake in 2002), and a dystrophic lake (Tuesday Lake in 2002). Three kinds of dynamic models were used to estimate allochthony: a process-rich, dual-isotope flow model based on mass balances of two carbon isotopes in 12 carbon pools; simple univariate time-series models driven by observed time courses of δ13CO2; and multivariate autoregression models that combined information from time series of δ13C in several interacting carbon pools. All three models gave similar estimates of allochthony. In the three experiments without nutrient enrichment, flows of terrestrial carbon to dissolved and particulate organic carbon, zooplankton, Chaoborus, and fishes were substantial. For example, terrestrial sources accounted for more than half the carbon flow to juvenile and adult largemouth bass, pumpkinseed sunfish, golden shiners, brook sticklebacks, and fathead minnows in the unenriched experiments. Allochthony was highest in the dystrophic lake and lowest in the nutrient-enriched lake. Nutrient enrichment of Peter Lake decreased allochthony of zooplankton from 0.34–0.48 to 0–0.12, and of fishes from 0.51–0.80 to 0.25–0.55. These experiments show that lake ecosystem carbon cycles, including carbon flows to consumers, are heavily subsidized by organic carbon from the surrounding landscape.","container-title":"Ecology","DOI":"10.1890/04-1282","ISSN":"1939-9170","issue":"10","language":"en","page":"2737-2750","source":"Wiley Online Library","title":"Ecosystem Subsidies: Terrestrial Support of Aquatic Food Webs from 13c Addition to Contrasting Lakes","title-short":"Ecosystem Subsidies","volume":"86","author":[{"family":"Carpenter","given":"Stephen R."},{"family":"Cole","given":"Jonathan J."},{"family":"Pace","given":"Michael L."},{"family":"Bogert","given":"Matthew Van","dropping-particle":"de"},{"family":"Bade","given":"Darren L."},{"family":"Bastviken","given":"David"},{"family":"Gille","given":"Caitlin M."},{"family":"Hodgson","given":"James R."},{"family":"Kitchell","given":"James F."},{"family":"Kritzberg","given":"Emma S."}],"issued":{"date-parts":[["2005"]]}}},{"id":313,"uris":["http://zotero.org/users/2645460/items/N9NPSZZU"],"uri":["http://zotero.org/users/2645460/items/N9NPSZZU"],"itemData":{"id":313,"type":"article-journal","container-title":"Freshwater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2005; Rosenberger et al. 2008)</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Although the direct impacts of disturbance may be localized on nearshore biota, the disturbance may propagate to offshore communities, as pelagic organisms frequently rely on high littoral productivity for feeding or breeding</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{"citationID":"Oxin5Hvo","properties":{"formattedCitation":"(Vadeboncoeur et al. 2008; Hampton et al. 2011)","plainCitation":"(Vadeboncoeur et al. 2008; Hampton et al. 2011)","noteIndex":0},"citationItems":[{"id":358,"uris":["http://zotero.org/users/2645460/items/44Q4JBHK"],"uri":["http://zotero.org/users/2645460/items/44Q4JBHK"],"itemData":{"id":358,"type":"article-journal","container-title":"Ecology","issue":"9","page":"2542–2552","source":"Google Scholar","title":"Benthic algal production across lake size gradients: interactions among morphometry, nutrients, and light","title-short":"Benthic algal production across lake size gradients","volume":"89","author":[{"family":"Vadeboncoeur","given":"Yvonne"},{"family":"Peterson","given":"Garry"},{"family":"Vander Zanden","given":"M. Jake"},{"family":"Kalff","given":"Jacob"}],"issued":{"date-parts":[["2008"]]}}},{"id":400,"uris":["http://zotero.org/users/2645460/items/ED9SBAE6"],"uri":["http://zotero.org/users/2645460/items/ED9SBAE6"],"itemData":{"id":400,"type":"article-journal","container-title":"Marine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(Vadeboncoeur et al. 2008; Hampton et al. 2011)</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As a result of connectivity between pelagic and littoral processes, increased understanding of how edge ecological communities respond to disturbance can also offer insights to whole ecosystem processes. </w:t>
      </w:r>
    </w:p>
    <w:p w14:paraId="265884D8" w14:textId="6D02FD07"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release of treated and untreated wastewater into aquatic ecosystems is an example of a globally frequent and high impact 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{"citationID":"PVx31zyV","properties":{"formattedCitation":"(Meyer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(Meyer et al. 2019)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Although often concentrated within sewage, nutrient inputs can also originate from disparate anthropogenic and environmental sources, thereby obfuscating sewage signals. For example, agricultural runoff can add high nutrient concentrations to soil and aquatic systems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Geological processes, such as melting permafrost, can likewise contribute high nutrient loadings to bogs that can eventually lead to changes in primary production and decomposition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to geological and anthropogenic processes, changes in terrestrial plant communities, such as increased alder presence, has been associated with increased nutrient concentrations and nearshore periphyton production in adjacent lake environments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dissolved anthropogenic solutes, such as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CED159B" w14:textId="1FDABB9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alone may </w:t>
      </w:r>
      <w:r w:rsidR="00A011BB">
        <w:rPr>
          <w:rFonts w:ascii="Times New Roman" w:eastAsia="Times New Roman" w:hAnsi="Times New Roman" w:cs="Times New Roman"/>
          <w:sz w:val="24"/>
          <w:szCs w:val="24"/>
        </w:rPr>
        <w:t>not allow identification of a pollutants’ source</w:t>
      </w:r>
      <w:r>
        <w:rPr>
          <w:rFonts w:ascii="Times New Roman" w:eastAsia="Times New Roman" w:hAnsi="Times New Roman" w:cs="Times New Roman"/>
          <w:sz w:val="24"/>
          <w:szCs w:val="24"/>
        </w:rPr>
        <w:t xml:space="preserve">, pharmaceuticals and personal care products (PPCPs) have garnered increasing attention for their usefulness as sewage indicators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(Rosi-Marshall and Royer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Study of sub-continental and continental scale PPCP concentrations demonstrated that areas with dense human populations tend to be PPCP hot spots, yet lower concentrations can still be detected in less urban locations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(Kolpin et al. 2002; Focazio et al. 2008; Yang et al. 2018)</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At finer scales, PPCP concentrations have been used to identify hot spots of septic discharge within suburban residential areas</w:t>
      </w:r>
      <w:r w:rsidR="00D52D89">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(Yang et al. 2016)</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to identifying areas and moments 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varying degradation time of PPCPs can make them useful for different purposes. For example, gemfibrozil has an environmental </w:t>
      </w:r>
      <w:proofErr w:type="spellStart"/>
      <w:r>
        <w:rPr>
          <w:rFonts w:ascii="Times New Roman" w:eastAsia="Times New Roman" w:hAnsi="Times New Roman" w:cs="Times New Roman"/>
          <w:sz w:val="24"/>
          <w:szCs w:val="24"/>
        </w:rPr>
        <w:t>half life</w:t>
      </w:r>
      <w:proofErr w:type="spellEnd"/>
      <w:r>
        <w:rPr>
          <w:rFonts w:ascii="Times New Roman" w:eastAsia="Times New Roman" w:hAnsi="Times New Roman" w:cs="Times New Roman"/>
          <w:sz w:val="24"/>
          <w:szCs w:val="24"/>
        </w:rPr>
        <w:t xml:space="preserve"> of 120-288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{"citationID":"2LDjf30I","properties":{"formattedCitation":"(Araujo et al. 2011)","plainCitation":"(Araujo et al. 2011)","noteIndex":0},"citationItems":[{"id":2588,"uris":["http://zotero.org/users/2645460/items/6UUCNHGM"],"uri":["http://zotero.org/users/2645460/items/6UUCNHGM"],"itemData":{"id":2588,"type":"article-journal","container-title":"Environmental Chemistry Letters","DOI":"10.1007/s10311-009-0239-5","ISSN":"1610-3653, 1610-3661","issue":"1","journalAbbreviation":"Environ Chem Lett","language":"en","page":"13-18","source":"DOI.org (Crossref)","title":"Persistence of gemfibrozil, naproxen and mefenamic acid in natural waters","volume":"9","author":[{"family":"Araujo","given":"Lilia"},{"family":"Villa","given":"Noreiva"},{"family":"Camargo","given":"Nuris"},{"family":"Bustos","given":"Maikellys"},{"family":"García","given":"Theobaldo"},{"family":"Prieto","given":"Avismelsi de Jesus"}],"issued":{"date-parts":[["2011",3]]}}}],"schema":"https://github.com/citation-style-language/schema/raw/master/csl-citation.json"}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(Araujo et al. 2011)</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can indicate pollution that may have occurred within a relatively long time frame, whereas relatively short-lived PPCPs, such as </w:t>
      </w:r>
      <w:r>
        <w:rPr>
          <w:rFonts w:ascii="Times New Roman" w:eastAsia="Times New Roman" w:hAnsi="Times New Roman" w:cs="Times New Roman"/>
          <w:sz w:val="24"/>
          <w:szCs w:val="24"/>
        </w:rPr>
        <w:lastRenderedPageBreak/>
        <w:t>caffeine (t</w:t>
      </w:r>
      <w:r>
        <w:rPr>
          <w:rFonts w:ascii="Times New Roman" w:eastAsia="Times New Roman" w:hAnsi="Times New Roman" w:cs="Times New Roman"/>
          <w:sz w:val="24"/>
          <w:szCs w:val="24"/>
          <w:vertAlign w:val="subscript"/>
        </w:rPr>
        <w:t>0.5</w:t>
      </w:r>
      <w:r>
        <w:rPr>
          <w:rFonts w:ascii="Times New Roman" w:eastAsia="Times New Roman" w:hAnsi="Times New Roman" w:cs="Times New Roman"/>
          <w:sz w:val="24"/>
          <w:szCs w:val="24"/>
        </w:rPr>
        <w:t xml:space="preserve"> = 3.5-13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{"citationID":"n9wkebgi","properties":{"formattedCitation":"(Benotti and Brownawell 2009)","plainCitation":"(Benotti and Brownawell 2009)","noteIndex":0},"citationItems":[{"id":2589,"uris":["http://zotero.org/users/2645460/items/K5PGTFNU"],"uri":["http://zotero.org/users/2645460/items/K5PGTFNU"],"itemData":{"id":2589,"type":"article-journal","abstract":"Microbial degradation rates were measured for 19 pharmaceuticals in estuarine and coastal surface water samples. Antipyrine, carbamazepine, cotinine, sulfamethoxazole, and trimethoprim were the most refractory (half-lives, t1/2=35 to &gt;100 days), making them excellent candidates for wastewater tracers. Nicotine, acetaminophen, and fluoxetine were labile across all treatments (t1/2=0.68–11 days). Caffeine, diltiazem, and nifedipine were also and relatively labile in all but one of the treatments (t1/2=3.5–13 days). Microbial degradation of caffeine was further confirmed by production 14CO2. The fastest decay of non-refractory compounds was always observed in more sewage-affected Jamaica Bay waters. Degradation rates for the majority of these pharmaceuticals are much slower than reported rates for small biomolecules, such as glucose and amino acids. Batch sorption experiments indicate that removal of these soluble pharmaceuticals from the water column to sediments is a relatively insignificant removal process in these receiving waters.","container-title":"Environmental Pollution","DOI":"10.1016/j.envpol.2008.10.009","ISSN":"0269-7491","issue":"3","journalAbbreviation":"Environmental Pollution","language":"en","page":"994-1002","source":"ScienceDirect","title":"Microbial degradation of pharmaceuticals in estuarine and coastal seawater","volume":"157","author":[{"family":"Benotti","given":"Mark J."},{"family":"Brownawell","given":"Bruce J."}],"issued":{"date-parts":[["2009",3,1]]}}}],"schema":"https://github.com/citation-style-language/schema/raw/master/csl-citation.json"}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(Benotti and Brownawell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provide finer scaled temporal monitoring. </w:t>
      </w:r>
    </w:p>
    <w:p w14:paraId="1E62AB8F" w14:textId="71E8A75D"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Microplastics (plastic debris up to 5 mm in size;</w:t>
      </w:r>
      <w:r w:rsidR="00B24F30">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along gradients of increasing human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providing a signal over a longer time frame than many PPCPs and nutrients in sewage. Their usefulness as indicators, however, has several distinct limitations. First, similar to nutrients, microplastics can originate from various sources of human pollution, such that the signal provided by microplastics can sometimes be confounded with other human activities, such as agriculture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{"citationID":"01UORnIl","properties":{"formattedCitation":"(Koelmans et al. 2019)","plainCitation":"(Koelmans et al. 2019)","noteIndex":0},"citationItems":[{"id":2626,"uris":["http://zotero.org/users/2645460/items/S2G7NHIS"],"uri":["http://zotero.org/users/2645460/items/S2G7NHIS"],"itemData":{"id":2626,"type":"article-journal","abstract":"Microplastics have recently been detected in drinking water as well as in drinking water sources. This presence has triggered discussions on possible implications for human health. However, there have been questions regarding the quality of these occurrence studies since there are no standard sampling, extraction and identification methods for microplastics. Accordingly, we assessed the quality of fifty studies researching microplastics in drinking water and in its major freshwater sources. This includes an assessment of microplastic occurrence data from river and lake water, groundwater, tap water and bottled drinking water. Studies of occurrence in wastewater were also reviewed. We review and propose best practices to sample, extract and detect microplastics and provide a quantitative quality assessment of studies reporting microplastic concentrations. Further, we summarize the findings related to microplastic concentrations, polymer types and particle shapes. Microplastics are frequently present in freshwaters and drinking water, and number concentrations spanned ten orders of magnitude (1 × 10−2 to 108 #/m3) across individual samples and water types. However, only four out of 50 studies received positive scores for all proposed quality criteria, implying there is a significant need to improve quality assurance of microplastic sampling and analysis in water samples. The order in globally detected polymers in these studies is PE ≈ PP &gt; PS &gt; PVC &gt; PET, which probably reflects the global plastic demand and a higher tendency for PVC and PET to settle as a result of their higher densities. Fragments, fibres, film, foam and pellets were the most frequently reported shapes. We conclude that more high quality data is needed on the occurrence of microplastics in drinking water, to better understand potential exposure and to inform human health risk assessments.","container-title":"Water Research","DOI":"10.1016/j.watres.2019.02.054","ISSN":"0043-1354","journalAbbreviation":"Water Research","language":"en","page":"410-422","source":"ScienceDirect","title":"Microplastics in freshwaters and drinking water: Critical review and assessment of data quality","title-short":"Microplastics in freshwaters and drinking water","volume":"155","author":[{"family":"Koelmans","given":"Albert A."},{"family":"Mohamed Nor","given":"Nur Hazimah"},{"family":"Hermsen","given":"Enya"},{"family":"Kooi","given":"Merel"},{"family":"Mintenig","given":"Svenja M."},{"family":"De France","given":"Jennifer"}],"issued":{"date-parts":[["2019",5,15]]}}}],"schema":"https://github.com/citation-style-language/schema/raw/master/csl-citation.json"}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(Koelmans et al. 2019)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Second, while microplastics have been useful in identifying presence of human pollution in lake environments, their densities may be more correlated with intra-lake currents and wave action more than lakeside human activity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{"citationID":"NjYwIfaH","properties":{"formattedCitation":"(Free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(Free et al.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A5C5508" w14:textId="4A55DC6B"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identifying presence of sewage pollution, PPCP and microplastic concentrations can also be useful to </w:t>
      </w:r>
      <w:r w:rsidR="006B3ABE">
        <w:rPr>
          <w:rFonts w:ascii="Times New Roman" w:eastAsia="Times New Roman" w:hAnsi="Times New Roman" w:cs="Times New Roman"/>
          <w:sz w:val="24"/>
          <w:szCs w:val="24"/>
        </w:rPr>
        <w:t xml:space="preserve">delineate gradients of human disturbance along which </w:t>
      </w:r>
      <w:r>
        <w:rPr>
          <w:rFonts w:ascii="Times New Roman" w:eastAsia="Times New Roman" w:hAnsi="Times New Roman" w:cs="Times New Roman"/>
          <w:sz w:val="24"/>
          <w:szCs w:val="24"/>
        </w:rPr>
        <w:t>biotic communit</w:t>
      </w:r>
      <w:r w:rsidR="006B3ABE">
        <w:rPr>
          <w:rFonts w:ascii="Times New Roman" w:eastAsia="Times New Roman" w:hAnsi="Times New Roman" w:cs="Times New Roman"/>
          <w:sz w:val="24"/>
          <w:szCs w:val="24"/>
        </w:rPr>
        <w:t>y response may be examined.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noted PPCPs concentrations decreased downstream of the input source</w:t>
      </w:r>
      <w:r w:rsidR="006B3ABE">
        <w:rPr>
          <w:rFonts w:ascii="Times New Roman" w:eastAsia="Times New Roman" w:hAnsi="Times New Roman" w:cs="Times New Roman"/>
          <w:sz w:val="24"/>
          <w:szCs w:val="24"/>
        </w:rPr>
        <w:t xml:space="preserve"> in </w:t>
      </w:r>
      <w:r w:rsidR="006D5521">
        <w:rPr>
          <w:rFonts w:ascii="Times New Roman" w:eastAsia="Times New Roman" w:hAnsi="Times New Roman" w:cs="Times New Roman"/>
          <w:sz w:val="24"/>
          <w:szCs w:val="24"/>
        </w:rPr>
        <w:t xml:space="preserve">a </w:t>
      </w:r>
      <w:r w:rsidR="006B3ABE">
        <w:rPr>
          <w:rFonts w:ascii="Times New Roman" w:eastAsia="Times New Roman" w:hAnsi="Times New Roman" w:cs="Times New Roman"/>
          <w:sz w:val="24"/>
          <w:szCs w:val="24"/>
        </w:rPr>
        <w:t>river</w:t>
      </w:r>
      <w:r w:rsidR="006D55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et al. (2016) similarly demonstrated how leachate from septic systems can </w:t>
      </w:r>
      <w:r w:rsidR="006B3ABE">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 xml:space="preserve">PPCP hotspots in soils, with certain PPCPs </w:t>
      </w:r>
      <w:proofErr w:type="spellStart"/>
      <w:r>
        <w:rPr>
          <w:rFonts w:ascii="Times New Roman" w:eastAsia="Times New Roman" w:hAnsi="Times New Roman" w:cs="Times New Roman"/>
          <w:sz w:val="24"/>
          <w:szCs w:val="24"/>
        </w:rPr>
        <w:t>advecting</w:t>
      </w:r>
      <w:proofErr w:type="spellEnd"/>
      <w:r>
        <w:rPr>
          <w:rFonts w:ascii="Times New Roman" w:eastAsia="Times New Roman" w:hAnsi="Times New Roman" w:cs="Times New Roman"/>
          <w:sz w:val="24"/>
          <w:szCs w:val="24"/>
        </w:rPr>
        <w:t xml:space="preserve"> in groundwater transport and others </w:t>
      </w:r>
      <w:proofErr w:type="spellStart"/>
      <w:r>
        <w:rPr>
          <w:rFonts w:ascii="Times New Roman" w:eastAsia="Times New Roman" w:hAnsi="Times New Roman" w:cs="Times New Roman"/>
          <w:sz w:val="24"/>
          <w:szCs w:val="24"/>
        </w:rPr>
        <w:t>sorbing</w:t>
      </w:r>
      <w:proofErr w:type="spellEnd"/>
      <w:r>
        <w:rPr>
          <w:rFonts w:ascii="Times New Roman" w:eastAsia="Times New Roman" w:hAnsi="Times New Roman" w:cs="Times New Roman"/>
          <w:sz w:val="24"/>
          <w:szCs w:val="24"/>
        </w:rPr>
        <w:t xml:space="preserve"> to colloidal particles. By defining sewage gradients using PPCPs, their concentrations can be correlated with changes in primary producer and consumer guilds, such as increased filamentous algal taxa relative to diatoms. Increased filamentous algae relative to other taxa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in nutritional quality, as filamentous algae tend to contain a different mixture of essential fatty acids 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this potential for nutritional </w:t>
      </w:r>
      <w:r w:rsidR="006B3ABE">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sewage pollution into the nearshore area of lakes may not only alter community composition but also restructure interactions between community members.</w:t>
      </w:r>
    </w:p>
    <w:p w14:paraId="5336E3B4" w14:textId="02DFC3B2"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investigate ecological community responses to sewage pollution using micropollutants as sewage indicators, we surveyed a 40-km shoreline in Lake Baikal with discrete population centers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biota 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Despite much of Lake Baikal’s shoreline lacking human development and Baikal’s watershed being largely roadless and unpopulated (Moore et al. 2009), pockets of lakeside development have have been recently associated with filamentous algal blooms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{"citationID":"llg8WMyp","properties":{"formattedCitation":"(Timoshkin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Lake Baikal’s pelagic </w:t>
      </w:r>
      <w:r>
        <w:rPr>
          <w:rFonts w:ascii="Times New Roman" w:eastAsia="Times New Roman" w:hAnsi="Times New Roman" w:cs="Times New Roman"/>
          <w:sz w:val="24"/>
          <w:szCs w:val="24"/>
        </w:rPr>
        <w:lastRenderedPageBreak/>
        <w:t xml:space="preserve">zone is generally ultra-oligotrophic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(Ministry of Natural Resources and Ecology of the Russian Federation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nearshore areas abutting lakeside settlements have demonstrated signs of eutrophication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ecological alterations, motivating further research that might identify the extent to which sewage is altering nearshore communities.</w:t>
      </w:r>
    </w:p>
    <w:p w14:paraId="7BCA5B63" w14:textId="4D69923B"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evolved under ultra-oligotrophic conditions over 25 million years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{"citationID":"RUJkrcuy","properties":{"formattedCitation":"(Kozhov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Baikal’s biota present excellent opportunity to study how nearshore communities respond to highly localized human disturbance. Even though Lake Baikal’s remoteness and high volume should mitigate risks of sewage pollution, nearshore biotic communities proximal to adjacent lakeside development may respond most markedly as pollutants diffuse into the lake. Given the potential to observe community-level responses to sewage pollution within Lake Baikal in the nearshore area, we hypothesized that (1) sewage indicators, such as PPCP concentrations and microplastic densities, would increase with increasing population density and proximity of lakeside development; (2) an increasing sewage signal would be directly proportional to filamentous algal community composition; and (3) with an increasing filamentous algae abundance, the littoral food web would restructure to include more macroinvertebrates capable of consuming filamentous algae as well as detritus in place of diatom-consuming macroinvertebrates. In doing so, this study pairs highly specific sewage indicators to identify pollution hot spots with co-located biological measurements, thereby explicitly defining areas of sewage pollution.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5D5FB74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 Site description</w:t>
      </w:r>
    </w:p>
    <w:p w14:paraId="3C062B67" w14:textId="5036F2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where rudimentary wastewater management techniques are employed in pockets of lakeside development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{"citationID":"havgAVsm","properties":{"formattedCitation":"(Timoshkin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largest settlement,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is primarily a tourist town with approximately 1,963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2012), although tourism can contribute significantly to the town’s population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experiences high fluxes in tourists with approximately 300,000 tourists over the course of the year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also serves as the main transportation hub to other settlements within Lake Baikal. Within our 40-km transect, two of those villages include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consists of approximately 56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also </w:t>
      </w:r>
      <w:r w:rsidR="00833288">
        <w:rPr>
          <w:rFonts w:ascii="Times New Roman" w:eastAsia="Times New Roman" w:hAnsi="Times New Roman" w:cs="Times New Roman"/>
          <w:sz w:val="24"/>
          <w:szCs w:val="24"/>
        </w:rPr>
        <w:t xml:space="preserve">is home to </w:t>
      </w:r>
      <w:r>
        <w:rPr>
          <w:rFonts w:ascii="Times New Roman" w:eastAsia="Times New Roman" w:hAnsi="Times New Roman" w:cs="Times New Roman"/>
          <w:sz w:val="24"/>
          <w:szCs w:val="24"/>
        </w:rPr>
        <w:t>two field research stations</w:t>
      </w:r>
      <w:r w:rsidR="009D0D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Irkutsk State University and the Russian Academy of Sciences Limnological Institute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2018).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is also a tourist village, </w:t>
      </w:r>
      <w:r w:rsidR="009D0DDD">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approximately 600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p>
    <w:p w14:paraId="53BBF2BF" w14:textId="10991C8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Along our 40-km transect, we sampled 14 littoral and 3 pelagic locations. Littoral locations were meant to capture a range of sites with</w:t>
      </w:r>
      <w:r w:rsidR="009D0DDD">
        <w:rPr>
          <w:rFonts w:ascii="Times New Roman" w:eastAsia="Times New Roman" w:hAnsi="Times New Roman" w:cs="Times New Roman"/>
          <w:sz w:val="24"/>
          <w:szCs w:val="24"/>
        </w:rPr>
        <w:t xml:space="preserve"> varying degrees of</w:t>
      </w:r>
      <w:r>
        <w:rPr>
          <w:rFonts w:ascii="Times New Roman" w:eastAsia="Times New Roman" w:hAnsi="Times New Roman" w:cs="Times New Roman"/>
          <w:sz w:val="24"/>
          <w:szCs w:val="24"/>
        </w:rPr>
        <w:t xml:space="preserve"> adjacent shoreline development</w:t>
      </w:r>
      <w:r w:rsidR="009D0DDD">
        <w:rPr>
          <w:rFonts w:ascii="Times New Roman" w:eastAsia="Times New Roman" w:hAnsi="Times New Roman" w:cs="Times New Roman"/>
          <w:sz w:val="24"/>
          <w:szCs w:val="24"/>
        </w:rPr>
        <w:t xml:space="preserve"> – from “developed” to “undeveloped</w:t>
      </w:r>
      <w:r>
        <w:rPr>
          <w:rFonts w:ascii="Times New Roman" w:eastAsia="Times New Roman" w:hAnsi="Times New Roman" w:cs="Times New Roman"/>
          <w:sz w:val="24"/>
          <w:szCs w:val="24"/>
        </w:rPr>
        <w:t>.</w:t>
      </w:r>
      <w:r w:rsidR="009D0D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Pelagic sites were located 2 to 5 km offshore from each of the developed sites (Figure 1; Table 1). We attempted to choose specific sites at each location that represented a gradient moving away from population centers, with distance between sites dictated by accessibility. Littoral sampling sites were chosen to be the same depth (~1.25 m) across all sites and locations, such that sites sometimes differed in their distance from shore (Table 1). At each site, air temperature was measured with a mercury thermometer and photographs were taken of the substrate and the shoreline.</w:t>
      </w:r>
    </w:p>
    <w:p w14:paraId="6C5C6B8A" w14:textId="4BBC280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Because certain littoral sampling sites are clustered around a population center, hydrologic connectivity between sites could create sewage gradients. In order to account for the effect of sewage gradients, we created a distance-weighted population density metric for each littoral site. The distance-weighted population metric reflect</w:t>
      </w:r>
      <w:r w:rsidR="001936D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idea that sewage pollution should be </w:t>
      </w:r>
      <w:r w:rsidR="001936D1">
        <w:rPr>
          <w:rFonts w:ascii="Times New Roman" w:eastAsia="Times New Roman" w:hAnsi="Times New Roman" w:cs="Times New Roman"/>
          <w:sz w:val="24"/>
          <w:szCs w:val="24"/>
        </w:rPr>
        <w:t xml:space="preserve">positively </w:t>
      </w:r>
      <w:r>
        <w:rPr>
          <w:rFonts w:ascii="Times New Roman" w:eastAsia="Times New Roman" w:hAnsi="Times New Roman" w:cs="Times New Roman"/>
          <w:sz w:val="24"/>
          <w:szCs w:val="24"/>
        </w:rPr>
        <w:t>related to increasing magnitude of human density and inversely related with distance from densely populated areas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For each littoral site, we first calculated the population density (population/km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of the closest southern lakeside development, recognizing that the most southern site would be eliminated from analysis.</w:t>
      </w:r>
      <w:r w:rsidR="009D6A53">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t xml:space="preserve">Measurements were recorded from the nearest southern developed site as </w:t>
      </w:r>
      <w:r w:rsidR="009D6A53">
        <w:rPr>
          <w:rFonts w:ascii="Times New Roman" w:eastAsia="Times New Roman" w:hAnsi="Times New Roman" w:cs="Times New Roman"/>
          <w:sz w:val="24"/>
          <w:szCs w:val="24"/>
        </w:rPr>
        <w:t>summer win</w:t>
      </w:r>
      <w:r w:rsidR="007911B2">
        <w:rPr>
          <w:rFonts w:ascii="Times New Roman" w:eastAsia="Times New Roman" w:hAnsi="Times New Roman" w:cs="Times New Roman"/>
          <w:sz w:val="24"/>
          <w:szCs w:val="24"/>
        </w:rPr>
        <w:t>ds and associated currents tend to flow south-to-north</w:t>
      </w:r>
      <w:r w:rsidR="00BF09EC">
        <w:rPr>
          <w:rFonts w:ascii="Times New Roman" w:eastAsia="Times New Roman" w:hAnsi="Times New Roman" w:cs="Times New Roman"/>
          <w:sz w:val="24"/>
          <w:szCs w:val="24"/>
        </w:rPr>
        <w:t>,</w:t>
      </w:r>
      <w:r w:rsidR="007911B2">
        <w:rPr>
          <w:rFonts w:ascii="Times New Roman" w:eastAsia="Times New Roman" w:hAnsi="Times New Roman" w:cs="Times New Roman"/>
          <w:sz w:val="24"/>
          <w:szCs w:val="24"/>
        </w:rPr>
        <w:t xml:space="preserve"> although not with the velocity and regularity of autumn winds (</w:t>
      </w:r>
      <w:proofErr w:type="spellStart"/>
      <w:r w:rsidR="007911B2">
        <w:rPr>
          <w:rFonts w:ascii="Times New Roman" w:eastAsia="Times New Roman" w:hAnsi="Times New Roman" w:cs="Times New Roman"/>
          <w:sz w:val="24"/>
          <w:szCs w:val="24"/>
        </w:rPr>
        <w:t>Shimaraev</w:t>
      </w:r>
      <w:proofErr w:type="spellEnd"/>
      <w:r w:rsidR="007911B2">
        <w:rPr>
          <w:rFonts w:ascii="Times New Roman" w:eastAsia="Times New Roman" w:hAnsi="Times New Roman" w:cs="Times New Roman"/>
          <w:sz w:val="24"/>
          <w:szCs w:val="24"/>
        </w:rPr>
        <w:t xml:space="preserve"> et al., 1994). </w:t>
      </w:r>
      <w:r>
        <w:rPr>
          <w:rFonts w:ascii="Times New Roman" w:eastAsia="Times New Roman" w:hAnsi="Times New Roman" w:cs="Times New Roman"/>
          <w:sz w:val="24"/>
          <w:szCs w:val="24"/>
        </w:rPr>
        <w:t>Population data were collected from 2012 census data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development area was determined using area calculation from Google Earth (Table S1). Because sewage pollution may be diluted in instances where the majority of lakeside development is not arranged along the shoreline, we scaled population density directly by length of shoreline at the closest developed site. Each sampled littoral site was then assigned the scaled population density metric of the nearest southern developed site. In order to capture how sewage pollution may attenuate over space, all scaled population densities were normalized by distance from the nearest southern developed location. In summary, we calculated our distance-weighted population metric by the equation </w:t>
      </w:r>
      <m:oMath>
        <m:r>
          <w:rPr>
            <w:rFonts w:ascii="Times New Roman" w:eastAsia="Times New Roman" w:hAnsi="Times New Roman" w:cs="Times New Roman"/>
            <w:sz w:val="24"/>
            <w:szCs w:val="24"/>
          </w:rPr>
          <m:t>I</m:t>
        </m:r>
        <m:r>
          <w:rPr>
            <w:rFonts w:ascii="Times New Roman" w:eastAsia="Times New Roman" w:hAnsi="Times New Roman" w:cs="Times New Roman"/>
            <w:sz w:val="24"/>
            <w:szCs w:val="24"/>
            <w:vertAlign w:val="subscript"/>
          </w:rPr>
          <m:t>j</m:t>
        </m:r>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Pi</m:t>
                </m:r>
              </m:num>
              <m:den>
                <m:r>
                  <w:rPr>
                    <w:rFonts w:ascii="Times New Roman" w:eastAsia="Times New Roman" w:hAnsi="Times New Roman" w:cs="Times New Roman"/>
                    <w:sz w:val="24"/>
                    <w:szCs w:val="24"/>
                  </w:rPr>
                  <m:t>Ai</m:t>
                </m:r>
              </m:den>
            </m:f>
            <m:r>
              <w:rPr>
                <w:rFonts w:ascii="Times New Roman" w:eastAsia="Times New Roman" w:hAnsi="Times New Roman" w:cs="Times New Roman"/>
                <w:sz w:val="24"/>
                <w:szCs w:val="24"/>
              </w:rPr>
              <m:t>*Li</m:t>
            </m:r>
          </m:num>
          <m:den>
            <m:r>
              <w:rPr>
                <w:rFonts w:ascii="Times New Roman" w:eastAsia="Times New Roman" w:hAnsi="Times New Roman" w:cs="Times New Roman"/>
                <w:sz w:val="24"/>
                <w:szCs w:val="24"/>
              </w:rPr>
              <m:t>D</m:t>
            </m:r>
          </m:den>
        </m:f>
      </m:oMath>
      <w:r>
        <w:rPr>
          <w:rFonts w:ascii="Times New Roman" w:eastAsia="Times New Roman" w:hAnsi="Times New Roman" w:cs="Times New Roman"/>
          <w:sz w:val="24"/>
          <w:szCs w:val="24"/>
        </w:rPr>
        <w:t>, where I</w:t>
      </w:r>
      <w:r>
        <w:rPr>
          <w:rFonts w:ascii="Times New Roman" w:eastAsia="Times New Roman" w:hAnsi="Times New Roman" w:cs="Times New Roman"/>
          <w:sz w:val="24"/>
          <w:szCs w:val="24"/>
          <w:vertAlign w:val="subscript"/>
        </w:rPr>
        <w:t>j</w:t>
      </w:r>
      <w:r>
        <w:rPr>
          <w:rFonts w:ascii="Times New Roman" w:eastAsia="Times New Roman" w:hAnsi="Times New Roman" w:cs="Times New Roman"/>
          <w:sz w:val="24"/>
          <w:szCs w:val="24"/>
        </w:rPr>
        <w:t xml:space="preserve"> is the distance-weighted population at site j,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population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area of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shoreline length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 and D is the distance from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j in km.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for nutrient analyses were collected in approximately 150 mL glass jars that had been rinsed three times with water from the sampling location. Samples were collected in duplicates and immediately frozen at -20°C. Samples were stored in the dark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Total phosphorus was derived from the molecular mass of phosphate concentration. Concentrations are reported in </w:t>
      </w:r>
      <w:commentRangeStart w:id="1"/>
      <w:r>
        <w:rPr>
          <w:rFonts w:ascii="Times New Roman" w:eastAsia="Times New Roman" w:hAnsi="Times New Roman" w:cs="Times New Roman"/>
          <w:sz w:val="24"/>
          <w:szCs w:val="24"/>
        </w:rPr>
        <w:t>mg/L</w:t>
      </w:r>
      <w:commentRangeEnd w:id="1"/>
      <w:r>
        <w:commentReference w:id="1"/>
      </w:r>
      <w:r>
        <w:rPr>
          <w:rFonts w:ascii="Times New Roman" w:eastAsia="Times New Roman" w:hAnsi="Times New Roman" w:cs="Times New Roman"/>
          <w:sz w:val="24"/>
          <w:szCs w:val="24"/>
        </w:rPr>
        <w:t>.</w:t>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a 250 mL amber glass bottle that was rinsed with an organic solvent and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D93A5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w:t>
      </w:r>
      <w:r>
        <w:rPr>
          <w:rFonts w:ascii="Times New Roman" w:eastAsia="Times New Roman" w:hAnsi="Times New Roman" w:cs="Times New Roman"/>
          <w:sz w:val="24"/>
          <w:szCs w:val="24"/>
        </w:rPr>
        <w:lastRenderedPageBreak/>
        <w:t xml:space="preserve">collected water was filtered. Upon completion, cartridges were removed and immediately stored in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SPE cartridges were processed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three 1.5 L clear plastic bottles were washed thoroughly with sample water before each collection. Samples were collected from the midpoint depth for each site. Once collected, bottles were sealed with a plastic cap until processing. </w:t>
      </w:r>
    </w:p>
    <w:p w14:paraId="6FDDC73D" w14:textId="77777777" w:rsidR="00715D55" w:rsidRDefault="00715D55">
      <w:pPr>
        <w:rPr>
          <w:rFonts w:ascii="Times New Roman" w:eastAsia="Times New Roman" w:hAnsi="Times New Roman" w:cs="Times New Roman"/>
          <w:sz w:val="24"/>
          <w:szCs w:val="24"/>
        </w:rPr>
      </w:pPr>
    </w:p>
    <w:p w14:paraId="2A31584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with a 47 mm GF/F.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and no visible organelles or cellular components. Fibers were defined as smooth, long plastics with consistent diameters. Fragments were defined as plastics with irregularly sharp or jagged edges. Beads were defined as spherical plastics. During enumeration, GF/Fs remained in the petri dish to minimize potential for contamination. 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623D7DD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Each biological sample collection and processing procedure is described below.</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9D3609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littoral site, we haphazardly selected three rocks representative of 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for periphyton samples.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6CA3CF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plastic scintillation vial. For each aliquot, cells, filaments, and colonies were counted for each taxonomic group until at least 300 cells were identified. 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xml:space="preserve">, 2007). Taxonomic groupings were coarse so as to capture overarching patterns in diatom relative to filamentous algae abundance. As a result, diatoms were considered one group. Filamentous algae were considered at finer resolution due to the distinctions in their occurrences described by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Samples contained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a regularly occurring Baikal filamentous alga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{"citationID":"2JkDILFL","properties":{"formattedCitation":"(Kozhov 1963; Osipova et al. 2009)","plainCitation":"(Kozhov 1963; Osipova et al. 2009)","noteIndex":0},"citationItems":[{"id":1670,"uris":["http://zotero.org/groups/332527/items/QAJQINVH"],"uri":["http://zotero.org/groups/332527/items/QAJQINVH"],"itemData":{"id":1670,"type":"book","number-of-pages":"344","publisher":"Springer Science &amp; Business Media","title":"Lake Baikal and its Life","author":[{"family":"Kozhov","given":"M.M."}],"issued":{"date-parts":[["1963"]]}}},{"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 Osipova et al. 2009)</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D552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a recently cosmopolitan filamentous alga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of approximately 1 m in length.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vodka (~40% ethanol) for preservation and refrigerated at 4°C aboard the research vessel. Vodka was replaced with ~80% ethanol upon return to the lab,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-20°C. </w:t>
      </w:r>
    </w:p>
    <w:p w14:paraId="420AF3DF" w14:textId="77777777" w:rsidR="00715D55" w:rsidRDefault="00715D55">
      <w:pPr>
        <w:rPr>
          <w:rFonts w:ascii="Times New Roman" w:eastAsia="Times New Roman" w:hAnsi="Times New Roman" w:cs="Times New Roman"/>
          <w:sz w:val="24"/>
          <w:szCs w:val="24"/>
        </w:rPr>
      </w:pPr>
    </w:p>
    <w:p w14:paraId="393A9A2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well preserved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Table 2).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DB51CD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 xml:space="preserve">for periphyton and macroinvertebrates. Stable isotopes have been used extensively to examine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structure and dynamics, </w:t>
      </w:r>
      <w:r w:rsidR="000F223A">
        <w:rPr>
          <w:rFonts w:ascii="Times New Roman" w:eastAsia="Times New Roman" w:hAnsi="Times New Roman" w:cs="Times New Roman"/>
          <w:sz w:val="24"/>
          <w:szCs w:val="24"/>
        </w:rPr>
        <w:t>indirectly</w:t>
      </w:r>
      <w:r>
        <w:rPr>
          <w:rFonts w:ascii="Times New Roman" w:eastAsia="Times New Roman" w:hAnsi="Times New Roman" w:cs="Times New Roman"/>
          <w:sz w:val="24"/>
          <w:szCs w:val="24"/>
        </w:rPr>
        <w:t xml:space="preserve"> indicat</w:t>
      </w:r>
      <w:r w:rsidR="000F223A">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associations (see review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{"citationID":"0dzIewzc","properties":{"formattedCitation":"(Layman et al. 2012)","plainCitation":"(Layman et al. 2012)","noteIndex":0},"citationItems":[{"id":2642,"uris":["http://zotero.org/users/2645460/items/DPWUFY3F"],"uri":["http://zotero.org/users/2645460/items/DPWUFY3F"],"itemData":{"id":2642,"type":"article-journal","abstract":"Stable isotope analysis has emerged as one of the primary means for examining the structure and dynamics of food webs, and numerous analytical approaches are now commonly used in the field. Techniques range from simple, qualitative inferences based on the isotopic niche, to Bayesian mixing models that can be used to characterize food-web structure at multiple hierarchical levels. We provide a comprehensive review of these techniques, and thus a single reference source to help identify the most useful approaches to apply to a given data set. We structure the review around four general questions: (1) what is the trophic position of an organism in a food web?; (2) which resource pools support consumers?; (3) what additional information does relative position of consumers in isotopic space reveal about food-web structure?; and (4) what is the degree of trophic variability at the intrapopulation level? For each general question, we detail different approaches that have been applied, discussing the strengths and weaknesses of each. We conclude with a set of suggestions that transcend individual analytical approaches, and provide guidance for future applications in the field.","container-title":"Biological Reviews","DOI":"10.1111/j.1469-185X.2011.00208.x","ISSN":"1469-185X","issue":"3","language":"en","page":"545-562","source":"Wiley Online Library","title":"Applying stable isotopes to examine food-web structure: an overview of analytical tools","title-short":"Applying stable isotopes to examine food-web structure","volume":"87","author":[{"family":"Layman","given":"Craig A."},{"family":"Araujo","given":"Marcio S."},{"family":"Boucek","given":"Ross"},{"family":"Hammerschlag‐Peyer","given":"Caroline M."},{"family":"Harrison","given":"Elizabeth"},{"family":"Jud","given":"Zachary R."},{"family":"Matich","given":"Philip"},{"family":"Rosenblatt","given":"Adam E."},{"family":"Vaudo","given":"Jeremy J."},{"family":"Yeager","given":"Lauren A."},{"family":"Post","given":"David M."},{"family":"Bearhop","given":"Stuart"}],"issued":{"date-parts":[["2012"]]}}}],"schema":"https://github.com/citation-style-language/schema/raw/master/csl-citation.json"}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(Layman et al.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 </w:t>
      </w:r>
      <w:r w:rsidR="000F223A">
        <w:rPr>
          <w:rFonts w:ascii="Times New Roman" w:eastAsia="Times New Roman" w:hAnsi="Times New Roman" w:cs="Times New Roman"/>
          <w:sz w:val="24"/>
          <w:szCs w:val="24"/>
        </w:rPr>
        <w:t xml:space="preserve">sensitive </w:t>
      </w:r>
      <w:r>
        <w:rPr>
          <w:rFonts w:ascii="Times New Roman" w:eastAsia="Times New Roman" w:hAnsi="Times New Roman" w:cs="Times New Roman"/>
          <w:sz w:val="24"/>
          <w:szCs w:val="24"/>
        </w:rPr>
        <w:t xml:space="preserve">diet tracers, such as fatty acids, have demonstrated robust potential to identify trophic relationships because fatty acid signatures are largely consistent within a species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{"citationID":"346OaRXw","properties":{"formattedCitation":"(Iverson et al. 2004; Galloway and Winder 2015)","plainCitation":"(Iverson et al. 2004;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(Iverson et al. 2004; Galloway and Winder 2015)</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Fatty acid analysis, therefore, can be used to infer species-level resource consumption, when fatty acid </w:t>
      </w:r>
      <w:r>
        <w:rPr>
          <w:rFonts w:ascii="Times New Roman" w:eastAsia="Times New Roman" w:hAnsi="Times New Roman" w:cs="Times New Roman"/>
          <w:sz w:val="24"/>
          <w:szCs w:val="24"/>
        </w:rPr>
        <w:lastRenderedPageBreak/>
        <w:t xml:space="preserve">profiles of both resources and consumers are known. Ideally, combining fatty acid profiles with stable isotope data can present a more cohesive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{"citationID":"djW7Dh8g","properties":{"formattedCitation":"(Boecklen et al. 2011)","plainCitation":"(Boecklen et al. 2011)","noteIndex":0},"citationItems":[{"id":2650,"uris":["http://zotero.org/users/2645460/items/ZDK9G4XT"],"uri":["http://zotero.org/users/2645460/items/ZDK9G4XT"],"itemData":{"id":2650,"type":"paper-conference","abstract":"Stable isotope analysis (SIA) has proven to be a useful tool in reconstructing diets, characterizing trophic relationships, elucidating patterns of resource allocation, and constructing food webs. Consequently, the number of studies using SIA in trophic ecology has increased exponentially over the past decade. Several subdisciplines have developed, including isotope mixing models, incorporation dynamics models, lipid-extraction and correction methods, isotopic routing models, and compound-specific isotopic analysis. As with all tools, there are limitations to SIA. Chief among these are multiple sources of variation in isotopic signatures, unequal taxonomic and ecosystem coverage, over-reliance on literature values for key parameters, lack of canonical models, untested or unrealistic assumptions, low predictive power, and a paucity of experimental studies. We anticipate progress in SIA resulting from standardization of methods and models, calibration of model parameters through experimentation, and continu...","DOI":"10.1146/annurev-ecolsys-102209-144726","source":"Semantic Scholar","title":"On the Use of Stable Isotopes in Trophic Ecology","author":[{"family":"Boecklen","given":"William J."},{"family":"Yarnes","given":"Christopher T."},{"family":"Cook","given":"Bethany A."},{"family":"James","given":"Avis C."}],"issued":{"date-parts":[["2011"]]}}}],"schema":"https://github.com/citation-style-language/schema/raw/master/csl-citation.json"}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(Boecklen et al. 2011)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77777777"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Prior to isotopic analy</w:t>
      </w:r>
      <w:r>
        <w:rPr>
          <w:rFonts w:ascii="Times New Roman" w:eastAsia="Times New Roman" w:hAnsi="Times New Roman" w:cs="Times New Roman"/>
          <w:color w:val="212121"/>
          <w:sz w:val="24"/>
          <w:szCs w:val="24"/>
        </w:rPr>
        <w:t>sis, periphyton and macroinvertebrate samples were</w:t>
      </w:r>
      <w:r>
        <w:rPr>
          <w:rFonts w:ascii="Times New Roman" w:eastAsia="Times New Roman" w:hAnsi="Times New Roman" w:cs="Times New Roman"/>
          <w:color w:val="212121"/>
          <w:sz w:val="24"/>
          <w:szCs w:val="24"/>
          <w:highlight w:val="white"/>
        </w:rPr>
        <w:t xml:space="preserve"> freeze dried for ~48 h (or until dry). 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w:t>
      </w:r>
      <w:r>
        <w:rPr>
          <w:rFonts w:ascii="Times New Roman" w:eastAsia="Times New Roman" w:hAnsi="Times New Roman" w:cs="Times New Roman"/>
          <w:sz w:val="24"/>
          <w:szCs w:val="24"/>
        </w:rPr>
        <w:lastRenderedPageBreak/>
        <w:t xml:space="preserve">100% hexane was added and stored in a glass amber autosampler vial for GC/MS quantification. </w:t>
      </w:r>
      <w:commentRangeStart w:id="2"/>
      <w:r>
        <w:rPr>
          <w:rFonts w:ascii="Times New Roman" w:eastAsia="Times New Roman" w:hAnsi="Times New Roman" w:cs="Times New Roman"/>
          <w:sz w:val="24"/>
          <w:szCs w:val="24"/>
        </w:rPr>
        <w:t>GC/MS quantification was performed in a similar method as described in Schram et al. (2018).</w:t>
      </w:r>
      <w:commentRangeEnd w:id="2"/>
      <w:r>
        <w:commentReference w:id="2"/>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phosphorus, nitrate, ammonium, microplastic abundance and density, total PPCP concentration, and δN15 in macroinvertebrate tissues were log-transformed and regressed against log-transformed distance-weighted population using a linear model. 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2F30B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and macroinvertebrate abundance data were each analyzed with a consistent multivariate routine. First, cross-correlated taxa were </w:t>
      </w:r>
      <w:r w:rsidR="00536BE1">
        <w:rPr>
          <w:rFonts w:ascii="Times New Roman" w:eastAsia="Times New Roman" w:hAnsi="Times New Roman" w:cs="Times New Roman"/>
          <w:sz w:val="24"/>
          <w:szCs w:val="24"/>
        </w:rPr>
        <w:t xml:space="preserve">identified, and the </w:t>
      </w:r>
      <w:r w:rsidR="009654BD">
        <w:rPr>
          <w:rFonts w:ascii="Times New Roman" w:eastAsia="Times New Roman" w:hAnsi="Times New Roman" w:cs="Times New Roman"/>
          <w:sz w:val="24"/>
          <w:szCs w:val="24"/>
        </w:rPr>
        <w:t xml:space="preserve">taxon with less abundance was </w:t>
      </w:r>
      <w:r>
        <w:rPr>
          <w:rFonts w:ascii="Times New Roman" w:eastAsia="Times New Roman" w:hAnsi="Times New Roman" w:cs="Times New Roman"/>
          <w:sz w:val="24"/>
          <w:szCs w:val="24"/>
        </w:rPr>
        <w:t>removed so as to ensure species abundances were independent. Second, community compositions for both periphyton and macroinvertebrates were visualized using non-metric multidimensional scaling (NMDS) with a Bray-Curtis similarity metric. Like other ordination techniques (e.g., Principal Component Analysis), NMDS condenses complexity of multi-dimensional data, such that when data are plotted, more similar data points (sampled locations, in our case) are spatially closer together. Visual inspection of the NMDS plot identified groupings of sampled locations based off PPCP concentrations and distance-weighted population. Third, to determine an optimal number of groups</w:t>
      </w:r>
      <w:r w:rsidR="00794B9B">
        <w:rPr>
          <w:rFonts w:ascii="Times New Roman" w:eastAsia="Times New Roman" w:hAnsi="Times New Roman" w:cs="Times New Roman"/>
          <w:sz w:val="24"/>
          <w:szCs w:val="24"/>
        </w:rPr>
        <w:t xml:space="preserve"> for the sampled locations</w:t>
      </w:r>
      <w:r>
        <w:rPr>
          <w:rFonts w:ascii="Times New Roman" w:eastAsia="Times New Roman" w:hAnsi="Times New Roman" w:cs="Times New Roman"/>
          <w:sz w:val="24"/>
          <w:szCs w:val="24"/>
        </w:rPr>
        <w:t xml:space="preserve">, k-means clustering was performed. K-means clustering is a non-hierarchical clustering method that iterates through increasing </w:t>
      </w:r>
      <w:r w:rsidR="00794B9B">
        <w:rPr>
          <w:rFonts w:ascii="Times New Roman" w:eastAsia="Times New Roman" w:hAnsi="Times New Roman" w:cs="Times New Roman"/>
          <w:sz w:val="24"/>
          <w:szCs w:val="24"/>
        </w:rPr>
        <w:t xml:space="preserve">numbers </w:t>
      </w:r>
      <w:r>
        <w:rPr>
          <w:rFonts w:ascii="Times New Roman" w:eastAsia="Times New Roman" w:hAnsi="Times New Roman" w:cs="Times New Roman"/>
          <w:sz w:val="24"/>
          <w:szCs w:val="24"/>
        </w:rPr>
        <w:t xml:space="preserve">of clusters (K) and assigns sites to the closest cluster’s centroid (i.e., mean)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{"citationID":"cRlK11VT","properties":{"formattedCitation":"(Johnson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(Johnson and Wichern 2007)</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After adding an additional cluster</w:t>
      </w:r>
      <w:r>
        <w:rPr>
          <w:rFonts w:ascii="Times New Roman" w:eastAsia="Times New Roman" w:hAnsi="Times New Roman" w:cs="Times New Roman"/>
          <w:sz w:val="24"/>
          <w:szCs w:val="24"/>
        </w:rPr>
        <w:t xml:space="preserve">, the within-group-sum-of-squares (WSS) was calculated, and the optimal number of clusters was selected when WSS </w:t>
      </w:r>
      <w:r w:rsidR="009654BD">
        <w:rPr>
          <w:rFonts w:ascii="Times New Roman" w:eastAsia="Times New Roman" w:hAnsi="Times New Roman" w:cs="Times New Roman"/>
          <w:sz w:val="24"/>
          <w:szCs w:val="24"/>
        </w:rPr>
        <w:t>decreased most markedly</w:t>
      </w:r>
      <w:r>
        <w:rPr>
          <w:rFonts w:ascii="Times New Roman" w:eastAsia="Times New Roman" w:hAnsi="Times New Roman" w:cs="Times New Roman"/>
          <w:sz w:val="24"/>
          <w:szCs w:val="24"/>
        </w:rPr>
        <w:t>. Finally, when an optimal number of groups was determined, sites were assigned to a cluster and then differences between clusters w</w:t>
      </w:r>
      <w:r w:rsidR="000F7A09">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assessed using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999 permutations. Unlike traditional multivariate analyses of variance (MANOVA), PERMAN</w:t>
      </w:r>
      <w:r w:rsidR="000F7A0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646AC5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data were analyzed in a manner </w:t>
      </w:r>
      <w:r w:rsidR="00EF7A40">
        <w:rPr>
          <w:rFonts w:ascii="Times New Roman" w:eastAsia="Times New Roman" w:hAnsi="Times New Roman" w:cs="Times New Roman"/>
          <w:sz w:val="24"/>
          <w:szCs w:val="24"/>
        </w:rPr>
        <w:t xml:space="preserve">similar to </w:t>
      </w:r>
      <w:r>
        <w:rPr>
          <w:rFonts w:ascii="Times New Roman" w:eastAsia="Times New Roman" w:hAnsi="Times New Roman" w:cs="Times New Roman"/>
          <w:sz w:val="24"/>
          <w:szCs w:val="24"/>
        </w:rPr>
        <w:t xml:space="preserve">periphyton and macroinvertebrate abundance data. First, complete fatty acid profiles were visualized by performing NMDS with Bray-Curtis similarity for all organisms (Figure S1). This technique broadly demonstrated that inter-specific variation in fatty acid composition was greater than intraspecific variation. This same pattern was observed for all fatty acids quantified as well as solely essential fatty acids (EFAs; Figure S2). 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w:t>
      </w:r>
      <w:r w:rsidR="00EF7A4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lastRenderedPageBreak/>
        <w:t xml:space="preserve">PPCP concentrations and distance-weighted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(Osipova et al. 2009)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 and 22:6ω3 have previously been associated with diatoms</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w:t>
      </w:r>
      <w:r w:rsidR="00EF7A40">
        <w:rPr>
          <w:rFonts w:ascii="Times New Roman" w:eastAsia="Times New Roman" w:hAnsi="Times New Roman" w:cs="Times New Roman"/>
          <w:sz w:val="24"/>
          <w:szCs w:val="24"/>
        </w:rPr>
        <w:t xml:space="preserve">feeding </w:t>
      </w:r>
      <w:r>
        <w:rPr>
          <w:rFonts w:ascii="Times New Roman" w:eastAsia="Times New Roman" w:hAnsi="Times New Roman" w:cs="Times New Roman"/>
          <w:sz w:val="24"/>
          <w:szCs w:val="24"/>
        </w:rPr>
        <w:t>patterns</w:t>
      </w:r>
      <w:r w:rsidR="00EF7A40">
        <w:rPr>
          <w:rFonts w:ascii="Times New Roman" w:eastAsia="Times New Roman" w:hAnsi="Times New Roman" w:cs="Times New Roman"/>
          <w:sz w:val="24"/>
          <w:szCs w:val="24"/>
        </w:rPr>
        <w:t xml:space="preserve"> for the grazers</w:t>
      </w:r>
      <w:r>
        <w:rPr>
          <w:rFonts w:ascii="Times New Roman" w:eastAsia="Times New Roman" w:hAnsi="Times New Roman" w:cs="Times New Roman"/>
          <w:sz w:val="24"/>
          <w:szCs w:val="24"/>
        </w:rPr>
        <w:t xml:space="preserve">. To evaluate how this ratio may be related with sewage pollution, we regressed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F537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Nitrate (p = 0.27), ammonium (p = 0.16), and chlorophyll a (p = 0.48) were not significantly correlated with distance-weighted population  (Figure 2). Phosphate (p = 0.01) and total PPCP (p = 0.037) concentrations, however, were significantly correlated with distance-weighted population (p = 0.01; Figure 2). Within the littoral zone, PPCPs detected 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both the littoral and pelagic zones. Bead microplastics were only detected 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were the most abundant type of microplastics across all sites (average = 3.6 microplastics/L), followed by fragments (average = 1.4 microplastics/L) and beads (average = 0.09 microplastics/L). Total microplastic densities were not significantly correlated with distance-weighted population (p = 0.56; Figure 2), although more types of microplastics were generally observed near areas with higher distance-weighted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K-means cluster analysis of periphyton abundance demonstrated three major groupings </w:t>
      </w:r>
      <w:r>
        <w:rPr>
          <w:rFonts w:ascii="Times New Roman" w:eastAsia="Times New Roman" w:hAnsi="Times New Roman" w:cs="Times New Roman"/>
          <w:sz w:val="24"/>
          <w:szCs w:val="24"/>
        </w:rPr>
        <w:lastRenderedPageBreak/>
        <w:t xml:space="preserve">would capture most variance, and visual inspection of periphyton community NMDS suggested groupings were related to distance-weighted population values (Figure 3). PERMANOVA results demonstrated that periphyton communities were significantly different based on distance-weighted population values (p = 0.023). </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162C217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Uncorrelated taxonomic groupings included four amphipod genera: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Poekilogammarus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Cryptoropus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two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families: </w:t>
      </w:r>
      <w:proofErr w:type="spellStart"/>
      <w:r>
        <w:rPr>
          <w:rFonts w:ascii="Times New Roman" w:eastAsia="Times New Roman" w:hAnsi="Times New Roman" w:cs="Times New Roman"/>
          <w:sz w:val="24"/>
          <w:szCs w:val="24"/>
        </w:rPr>
        <w:t>Planorbidae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Valvatidae</w:t>
      </w:r>
      <w:proofErr w:type="spellEnd"/>
      <w:r>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related to distance-weighted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Pr>
          <w:rFonts w:ascii="Times New Roman" w:eastAsia="Times New Roman" w:hAnsi="Times New Roman" w:cs="Times New Roman"/>
          <w:sz w:val="24"/>
          <w:szCs w:val="24"/>
        </w:rPr>
        <w:t xml:space="preserve">distance-weighted populations (p = 0.001). </w:t>
      </w:r>
    </w:p>
    <w:p w14:paraId="0DD211AD" w14:textId="77777777" w:rsidR="00715D55" w:rsidRDefault="00715D55">
      <w:pPr>
        <w:rPr>
          <w:rFonts w:ascii="Times New Roman" w:eastAsia="Times New Roman" w:hAnsi="Times New Roman" w:cs="Times New Roman"/>
          <w:sz w:val="24"/>
          <w:szCs w:val="24"/>
        </w:rPr>
      </w:pPr>
    </w:p>
    <w:p w14:paraId="4EFCDAF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p>
    <w:p w14:paraId="5568E349" w14:textId="77777777" w:rsidR="00715D55" w:rsidRDefault="00715D55">
      <w:pPr>
        <w:rPr>
          <w:rFonts w:ascii="Times New Roman" w:eastAsia="Times New Roman" w:hAnsi="Times New Roman" w:cs="Times New Roman"/>
          <w:sz w:val="24"/>
          <w:szCs w:val="24"/>
        </w:rPr>
      </w:pPr>
    </w:p>
    <w:p w14:paraId="33E45225"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3a. Stable isotopes</w:t>
      </w:r>
    </w:p>
    <w:p w14:paraId="59301B20" w14:textId="77777777" w:rsidR="00715D55" w:rsidRDefault="00715D55">
      <w:pPr>
        <w:rPr>
          <w:rFonts w:ascii="Times New Roman" w:eastAsia="Times New Roman" w:hAnsi="Times New Roman" w:cs="Times New Roman"/>
          <w:i/>
          <w:sz w:val="24"/>
          <w:szCs w:val="24"/>
        </w:rPr>
      </w:pPr>
    </w:p>
    <w:p w14:paraId="258D719E" w14:textId="200456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values ranged from -19.5 to -9.5%, suggesting </w:t>
      </w:r>
      <w:r w:rsidR="00292741">
        <w:rPr>
          <w:rFonts w:ascii="Times New Roman" w:eastAsia="Times New Roman" w:hAnsi="Times New Roman" w:cs="Times New Roman"/>
          <w:sz w:val="24"/>
          <w:szCs w:val="24"/>
        </w:rPr>
        <w:t xml:space="preserve">terrestrial origin for </w:t>
      </w:r>
      <w:r>
        <w:rPr>
          <w:rFonts w:ascii="Times New Roman" w:eastAsia="Times New Roman" w:hAnsi="Times New Roman" w:cs="Times New Roman"/>
          <w:sz w:val="24"/>
          <w:szCs w:val="24"/>
        </w:rPr>
        <w:t>benthic carbon (Figure 5; Post, 2002).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no grazer groups deviated </w:t>
      </w:r>
      <w:r w:rsidR="00292741">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evaluating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in relation to distance-weighted population,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significantly increased with distance-weighted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distance-weighted population (p = 0.7). In contrast,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distance-weighted population for either periphyton or macroinvertebrates. </w:t>
      </w:r>
    </w:p>
    <w:p w14:paraId="29AE9239" w14:textId="77777777" w:rsidR="00715D55" w:rsidRDefault="00715D55">
      <w:pPr>
        <w:rPr>
          <w:rFonts w:ascii="Times New Roman" w:eastAsia="Times New Roman" w:hAnsi="Times New Roman" w:cs="Times New Roman"/>
          <w:sz w:val="24"/>
          <w:szCs w:val="24"/>
        </w:rPr>
      </w:pPr>
    </w:p>
    <w:p w14:paraId="292C4C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3b. Fatty acids </w:t>
      </w:r>
    </w:p>
    <w:p w14:paraId="238C3CBB" w14:textId="77777777" w:rsidR="00715D55" w:rsidRDefault="00715D55">
      <w:pPr>
        <w:rPr>
          <w:rFonts w:ascii="Times New Roman" w:eastAsia="Times New Roman" w:hAnsi="Times New Roman" w:cs="Times New Roman"/>
          <w:sz w:val="24"/>
          <w:szCs w:val="24"/>
        </w:rPr>
      </w:pPr>
    </w:p>
    <w:p w14:paraId="560291FF" w14:textId="5BCBCE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 The EFAs 18:3ω3 and 18:4ω3 are commonly associated with filamentous algae</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are more associated with diatoms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All EFAs are polyunsaturated fatty acids (PUFAs), which are critical to maintaining cellular membrane fluidity especially in cold environments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(Nichols et al. 1993)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Additionally, EFAs are largely synthesized by primary producers, each species of which usually </w:t>
      </w:r>
      <w:r w:rsidR="00BF09EC">
        <w:rPr>
          <w:rFonts w:ascii="Times New Roman" w:eastAsia="Times New Roman" w:hAnsi="Times New Roman" w:cs="Times New Roman"/>
          <w:sz w:val="24"/>
          <w:szCs w:val="24"/>
        </w:rPr>
        <w:t>produces</w:t>
      </w:r>
      <w:r>
        <w:rPr>
          <w:rFonts w:ascii="Times New Roman" w:eastAsia="Times New Roman" w:hAnsi="Times New Roman" w:cs="Times New Roman"/>
          <w:sz w:val="24"/>
          <w:szCs w:val="24"/>
        </w:rPr>
        <w:t xml:space="preserve"> a consistent EFA signature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(Taipale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temperature-related </w:t>
      </w:r>
      <w:r>
        <w:rPr>
          <w:rFonts w:ascii="Times New Roman" w:eastAsia="Times New Roman" w:hAnsi="Times New Roman" w:cs="Times New Roman"/>
          <w:sz w:val="24"/>
          <w:szCs w:val="24"/>
        </w:rPr>
        <w:lastRenderedPageBreak/>
        <w:t xml:space="preserve">deviations can occur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{"citationID":"YEE7oMhc","properties":{"formattedCitation":"(Flaim et al. 2014; Anesi et al. 2016)","plainCitation":"(Flaim et al. 2014; Anesi et al. 2016)","noteIndex":0},"citationItems":[{"id":2675,"uris":["http://zotero.org/users/2645460/items/H8Q2MSWH"],"uri":["http://zotero.org/users/2645460/items/H8Q2MSWH"],"itemData":{"id":2675,"type":"article-journal","container-title":"Freshwater Biology","DOI":"10.1111/fwb.12321","ISSN":"00465070","issue":"5","journalAbbreviation":"Freshw Biol","language":"en","page":"985-997","source":"DOI.org (Crossref)","title":"Temperature-induced changes in lipid biomarkers and mycosporine-like amino acids in the psychrophilic dinoflagellate &lt;i&gt;Peridinium aciculiferum&lt;/i&gt;","volume":"59","author":[{"family":"Flaim","given":"Giovanna"},{"family":"Obertegger","given":"Ulrike"},{"family":"Anesi","given":"Andrea"},{"family":"Guella","given":"Graziano"}],"issued":{"date-parts":[["2014",5]]}}},{"id":2674,"uris":["http://zotero.org/users/2645460/items/X6LUUR95"],"uri":["http://zotero.org/users/2645460/items/X6LUUR95"],"itemData":{"id":2674,"type":"article-journal","abstract":"Here we report the lipid proﬁles of ten dinoﬂagellate species originating from different freshwater habitats and grown at 4, 13, or 20◦C akin to their natural occurrence. Lipids were determined by High Performance Liquid Chromatography-ElectroSpray Ionization-Mass Spectrometry in positive and negative ion modes. Besides the well-studied monogalactosyldiacylglycerol (MGDG) and digalactosyldiacylglycerol (DGDG) lipids, our study revealed the presence of intact molecular lipid species of trigalactosyldiacylglycerols, betaine diacylglyceryl-carboxyhydroxymethylcholine, sulfolipid sulfoquinovosyldiacylglycerols (SQDG) and phospholipids, in particular phosphatidylcholine, phosphatidylethanolamine and phosphatidylglycerol. In multivariate ordination, the freshwater dinoﬂagellates studied could be distinguished into two groups based on their lipid proﬁles. Peridinium aciculiferum, Borghiella dodgei, B. tenuissima and Tovellia coronata belonged to group 1 while Ceratium cornutum, Gymnodinium palustre, Jadwigia applanata, P. cinctum, P. willei, and P. gatunense belonged to group 2. Indicator species analysis evidenced that group 1 was characterized by 36:9 MGDG and 36:9 DGDG and group 2 by 38:9 and 38:10 MGDG, 38:9 and 38:10 DGDG and 34:1 SQDG. We suggest that the grouping of dinoﬂagellates indicated their range of temperature tolerance. Furthermore, nonthylakoid lipids were linked to dinoﬂagellate phylogeny based on the large ribosomal sub-unit (28S LSU) rather than their temperature tolerance. Thus certain lipids better reﬂected habitat adaptation while other lipids better reﬂected genetic diversity.","container-title":"Frontiers in Plant Science","DOI":"10.3389/fpls.2016.00524","ISSN":"1664-462X","journalAbbreviation":"Front. Plant Sci.","language":"en","source":"DOI.org (Crossref)","title":"Comparative Analysis of Membrane Lipids in Psychrophilic and Mesophilic Freshwater Dinoflagellates","URL":"http://journal.frontiersin.org/Article/10.3389/fpls.2016.00524/abstract","volume":"7","author":[{"family":"Anesi","given":"Andrea"},{"family":"Obertegger","given":"Ulrike"},{"family":"Hansen","given":"Gert"},{"family":"Sukenik","given":"Assaf"},{"family":"Flaim","given":"Giovanna"},{"family":"Guella","given":"Graziano"}],"accessed":{"date-parts":[["2020",2,10]]},"issued":{"date-parts":[["2016",4,20]]}}}],"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w:t>
      </w:r>
      <w:proofErr w:type="spellStart"/>
      <w:r w:rsidR="007E0849" w:rsidRPr="007E0849">
        <w:rPr>
          <w:rFonts w:ascii="Times New Roman" w:hAnsi="Times New Roman" w:cs="Times New Roman"/>
          <w:sz w:val="24"/>
        </w:rPr>
        <w:t>Flaim</w:t>
      </w:r>
      <w:proofErr w:type="spellEnd"/>
      <w:r w:rsidR="007E0849" w:rsidRPr="007E0849">
        <w:rPr>
          <w:rFonts w:ascii="Times New Roman" w:hAnsi="Times New Roman" w:cs="Times New Roman"/>
          <w:sz w:val="24"/>
        </w:rPr>
        <w:t xml:space="preserve"> et al. 2014; </w:t>
      </w:r>
      <w:proofErr w:type="spellStart"/>
      <w:r w:rsidR="007E0849" w:rsidRPr="007E0849">
        <w:rPr>
          <w:rFonts w:ascii="Times New Roman" w:hAnsi="Times New Roman" w:cs="Times New Roman"/>
          <w:sz w:val="24"/>
        </w:rPr>
        <w:t>Anesi</w:t>
      </w:r>
      <w:proofErr w:type="spellEnd"/>
      <w:r w:rsidR="007E0849" w:rsidRPr="007E0849">
        <w:rPr>
          <w:rFonts w:ascii="Times New Roman" w:hAnsi="Times New Roman" w:cs="Times New Roman"/>
          <w:sz w:val="24"/>
        </w:rPr>
        <w:t xml:space="preserve"> et al. 2016)</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Consumers, however, can acquire EFAs by grazing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(Dalsgaard et al. 2003)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upgrading EFAs at their own energetic expense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(Sargent and Falk-Petersen 1988; Dalsgaard et al. 2003)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By comparing the most abundant EFAs in both periphyton and amphipods, </w:t>
      </w:r>
      <w:r w:rsidR="00491178">
        <w:rPr>
          <w:rFonts w:ascii="Times New Roman" w:eastAsia="Times New Roman" w:hAnsi="Times New Roman" w:cs="Times New Roman"/>
          <w:sz w:val="24"/>
          <w:szCs w:val="24"/>
        </w:rPr>
        <w:t xml:space="preserve">results of </w:t>
      </w:r>
      <w:r>
        <w:rPr>
          <w:rFonts w:ascii="Times New Roman" w:eastAsia="Times New Roman" w:hAnsi="Times New Roman" w:cs="Times New Roman"/>
          <w:sz w:val="24"/>
          <w:szCs w:val="24"/>
        </w:rPr>
        <w:t xml:space="preserve">our analysis </w:t>
      </w:r>
      <w:r w:rsidR="00491178">
        <w:rPr>
          <w:rFonts w:ascii="Times New Roman" w:eastAsia="Times New Roman" w:hAnsi="Times New Roman" w:cs="Times New Roman"/>
          <w:sz w:val="24"/>
          <w:szCs w:val="24"/>
        </w:rPr>
        <w:t>might</w:t>
      </w:r>
      <w:r>
        <w:rPr>
          <w:rFonts w:ascii="Times New Roman" w:eastAsia="Times New Roman" w:hAnsi="Times New Roman" w:cs="Times New Roman"/>
          <w:sz w:val="24"/>
          <w:szCs w:val="24"/>
        </w:rPr>
        <w:t xml:space="preserve"> imply changes in trophic interactions. For periphyton, the ratio of C18:3ω3 and C18:4ω3 in comparison to C20:5ω3 and C22:6ω3 significantly increased with an increasing PPCP concentration (p = 0.05, Figure 6) but not with an increasing distance-weighted population (p = 0.17). Amphipods’ fatty acid ratios were not significantly related with either increasing distance-weighted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081380B8" w14:textId="77777777" w:rsidR="00715D55" w:rsidRDefault="00715D55">
      <w:pPr>
        <w:rPr>
          <w:rFonts w:ascii="Times New Roman" w:eastAsia="Times New Roman" w:hAnsi="Times New Roman" w:cs="Times New Roman"/>
          <w:sz w:val="24"/>
          <w:szCs w:val="24"/>
        </w:rPr>
      </w:pPr>
    </w:p>
    <w:p w14:paraId="6F3DCE69" w14:textId="4EE17E7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 and Baikal’s nearshore communities appear to be responding. Total PPCP, phosphorus, and macroinvertebrate δN15 concentrations tended to increase with distance-weighted population. Similarly, nearshore communities with stronger sewage signals tended to contain lower fractions of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and caddisflies and higher filamentous algae presence. In contrast, amphipods remained prevalent throughout all littoral sampling locations. Despite these changes in community composition, fatty acid results </w:t>
      </w:r>
      <w:r w:rsidR="00491178">
        <w:rPr>
          <w:rFonts w:ascii="Times New Roman" w:eastAsia="Times New Roman" w:hAnsi="Times New Roman" w:cs="Times New Roman"/>
          <w:sz w:val="24"/>
          <w:szCs w:val="24"/>
        </w:rPr>
        <w:t>did not support</w:t>
      </w:r>
      <w:r>
        <w:rPr>
          <w:rFonts w:ascii="Times New Roman" w:eastAsia="Times New Roman" w:hAnsi="Times New Roman" w:cs="Times New Roman"/>
          <w:sz w:val="24"/>
          <w:szCs w:val="24"/>
        </w:rPr>
        <w:t xml:space="preserve"> our hypothesis that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interactions would restructure. </w:t>
      </w:r>
    </w:p>
    <w:p w14:paraId="31247B7F" w14:textId="363A9A6F"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the most </w:t>
      </w:r>
      <w:r w:rsidRPr="00115FCB">
        <w:rPr>
          <w:rFonts w:ascii="Times New Roman" w:eastAsia="Times New Roman" w:hAnsi="Times New Roman" w:cs="Times New Roman"/>
          <w:sz w:val="24"/>
          <w:szCs w:val="24"/>
        </w:rPr>
        <w:t>notable</w:t>
      </w:r>
      <w:r>
        <w:rPr>
          <w:rFonts w:ascii="Times New Roman" w:eastAsia="Times New Roman" w:hAnsi="Times New Roman" w:cs="Times New Roman"/>
          <w:sz w:val="24"/>
          <w:szCs w:val="24"/>
        </w:rPr>
        <w:t xml:space="preserve"> result from this study was that sewage pollution can be both detected in Lake Baikal’s nearshore area and associated with size of and proximity to lakeside development. The influence of these localized settlements is even </w:t>
      </w:r>
      <w:r w:rsidRPr="00115FCB">
        <w:rPr>
          <w:rFonts w:ascii="Times New Roman" w:eastAsia="Times New Roman" w:hAnsi="Times New Roman" w:cs="Times New Roman"/>
          <w:sz w:val="24"/>
          <w:szCs w:val="24"/>
        </w:rPr>
        <w:t xml:space="preserve">more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several studies have quantified PPCP concentrations in aquatic systems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w:t>
      </w:r>
      <w:proofErr w:type="spellStart"/>
      <w:r w:rsidR="007E0849" w:rsidRPr="007E0849">
        <w:rPr>
          <w:rFonts w:ascii="Times New Roman" w:hAnsi="Times New Roman" w:cs="Times New Roman"/>
          <w:sz w:val="24"/>
        </w:rPr>
        <w:t>Kolpin</w:t>
      </w:r>
      <w:proofErr w:type="spellEnd"/>
      <w:r w:rsidR="007E0849" w:rsidRPr="007E0849">
        <w:rPr>
          <w:rFonts w:ascii="Times New Roman" w:hAnsi="Times New Roman" w:cs="Times New Roman"/>
          <w:sz w:val="24"/>
        </w:rPr>
        <w:t xml:space="preserve"> et al. 2002; </w:t>
      </w:r>
      <w:proofErr w:type="spellStart"/>
      <w:r w:rsidR="007E0849" w:rsidRPr="007E0849">
        <w:rPr>
          <w:rFonts w:ascii="Times New Roman" w:hAnsi="Times New Roman" w:cs="Times New Roman"/>
          <w:sz w:val="24"/>
        </w:rPr>
        <w:t>Focazio</w:t>
      </w:r>
      <w:proofErr w:type="spellEnd"/>
      <w:r w:rsidR="007E0849" w:rsidRPr="007E0849">
        <w:rPr>
          <w:rFonts w:ascii="Times New Roman" w:hAnsi="Times New Roman" w:cs="Times New Roman"/>
          <w:sz w:val="24"/>
        </w:rPr>
        <w:t xml:space="preserve"> et al. 2008; </w:t>
      </w:r>
      <w:proofErr w:type="spellStart"/>
      <w:r w:rsidR="007E0849" w:rsidRPr="007E0849">
        <w:rPr>
          <w:rFonts w:ascii="Times New Roman" w:hAnsi="Times New Roman" w:cs="Times New Roman"/>
          <w:sz w:val="24"/>
        </w:rPr>
        <w:t>Rosi</w:t>
      </w:r>
      <w:proofErr w:type="spellEnd"/>
      <w:r w:rsidR="007E0849" w:rsidRPr="007E0849">
        <w:rPr>
          <w:rFonts w:ascii="Times New Roman" w:hAnsi="Times New Roman" w:cs="Times New Roman"/>
          <w:sz w:val="24"/>
        </w:rPr>
        <w:t xml:space="preserve">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lakes have remained less represented within the PPCP literature in comparison to lotic systems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(Meyer et al. 2019)</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longer hydraulic residence times, PPCP distributions in lentic systems may differ from lotic environments, as pollutants within lakes may be more prone to accumulate within the nearshore before diffusing to undetectable concentrations. Our results suggest that PPCPs concentrate within the nearshore and are undetectable offshore. This result</w:t>
      </w:r>
      <w:r w:rsidR="00956343">
        <w:rPr>
          <w:rFonts w:ascii="Times New Roman" w:eastAsia="Times New Roman" w:hAnsi="Times New Roman" w:cs="Times New Roman"/>
          <w:sz w:val="24"/>
          <w:szCs w:val="24"/>
        </w:rPr>
        <w:t xml:space="preserve"> is especially important, considering how Baikal and many other lakes focus monitoring efforts based on pelagic measurement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(Ministry of Natural Resources and Ecology of the Russian Federation 2014)</w:t>
      </w:r>
      <w:r w:rsidR="00833C11">
        <w:rPr>
          <w:rFonts w:ascii="Times New Roman" w:eastAsia="Times New Roman" w:hAnsi="Times New Roman" w:cs="Times New Roman"/>
          <w:sz w:val="24"/>
          <w:szCs w:val="24"/>
        </w:rPr>
        <w:fldChar w:fldCharType="end"/>
      </w:r>
      <w:r w:rsidR="00956343">
        <w:rPr>
          <w:rFonts w:ascii="Times New Roman" w:eastAsia="Times New Roman" w:hAnsi="Times New Roman" w:cs="Times New Roman"/>
          <w:sz w:val="24"/>
          <w:szCs w:val="24"/>
        </w:rPr>
        <w:t>. Despite Lake Baikal’s widely ultraoligotrophic status, nearshore sampling holds promise to identify localized disturbances</w:t>
      </w:r>
      <w:r w:rsidR="00004C3C">
        <w:rPr>
          <w:rFonts w:ascii="Times New Roman" w:eastAsia="Times New Roman" w:hAnsi="Times New Roman" w:cs="Times New Roman"/>
          <w:sz w:val="24"/>
          <w:szCs w:val="24"/>
        </w:rPr>
        <w:t xml:space="preserve"> long before</w:t>
      </w:r>
      <w:r>
        <w:rPr>
          <w:rFonts w:ascii="Times New Roman" w:eastAsia="Times New Roman" w:hAnsi="Times New Roman" w:cs="Times New Roman"/>
          <w:sz w:val="24"/>
          <w:szCs w:val="24"/>
        </w:rPr>
        <w:t xml:space="preserve"> a pelagic response </w:t>
      </w:r>
      <w:r w:rsidR="00004C3C">
        <w:rPr>
          <w:rFonts w:ascii="Times New Roman" w:eastAsia="Times New Roman" w:hAnsi="Times New Roman" w:cs="Times New Roman"/>
          <w:sz w:val="24"/>
          <w:szCs w:val="24"/>
        </w:rPr>
        <w:t>may become</w:t>
      </w:r>
      <w:r>
        <w:rPr>
          <w:rFonts w:ascii="Times New Roman" w:eastAsia="Times New Roman" w:hAnsi="Times New Roman" w:cs="Times New Roman"/>
          <w:sz w:val="24"/>
          <w:szCs w:val="24"/>
        </w:rPr>
        <w:t xml:space="preserve"> detectable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{"citationID":"dMREWd7V","properties":{"formattedCitation":"(Hampton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(Hampton et al. 2011)</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9563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FA27999" w14:textId="0E822B56"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Lake Baikal’s PPCP concentrations, microplastics were not associated with distance-weighted population</w:t>
      </w:r>
      <w:r w:rsidR="008C64AE">
        <w:rPr>
          <w:rFonts w:ascii="Times New Roman" w:eastAsia="Times New Roman" w:hAnsi="Times New Roman" w:cs="Times New Roman"/>
          <w:sz w:val="24"/>
          <w:szCs w:val="24"/>
        </w:rPr>
        <w:t xml:space="preserve"> and may be a poor proxy for sewage pollution in Baikal</w:t>
      </w:r>
      <w:r>
        <w:rPr>
          <w:rFonts w:ascii="Times New Roman" w:eastAsia="Times New Roman" w:hAnsi="Times New Roman" w:cs="Times New Roman"/>
          <w:sz w:val="24"/>
          <w:szCs w:val="24"/>
        </w:rPr>
        <w:t xml:space="preserve">. Microplastics, though, have been used to identify sewage pollution in similarly large lakes, like Lake </w:t>
      </w:r>
      <w:proofErr w:type="spellStart"/>
      <w:r>
        <w:rPr>
          <w:rFonts w:ascii="Times New Roman" w:eastAsia="Times New Roman" w:hAnsi="Times New Roman" w:cs="Times New Roman"/>
          <w:sz w:val="24"/>
          <w:szCs w:val="24"/>
        </w:rPr>
        <w:t>Hovsgol</w:t>
      </w:r>
      <w:proofErr w:type="spellEnd"/>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(Free et al. 2014)</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Unlike PPCPs’ relatively short half-lives though, microplastics suggest accumulated pollution by degrading slowly or remaining recalcitrant to decay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 xml:space="preserve">(Brandon </w:t>
      </w:r>
      <w:r w:rsidR="00833C11" w:rsidRPr="00833C11">
        <w:rPr>
          <w:rFonts w:ascii="Times New Roman" w:hAnsi="Times New Roman" w:cs="Times New Roman"/>
          <w:sz w:val="24"/>
        </w:rPr>
        <w:lastRenderedPageBreak/>
        <w:t>et al. 2016)</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As a result, microplastic concentrations in Baikal, as quantified by our methods, may be poor proxies for capturing the temporal variability of short-term human populations, but may be useful in detecting offshore sewage signals as microplastics diffuse from the nearshore to the pelagic.</w:t>
      </w:r>
      <w:r w:rsidR="00491178">
        <w:rPr>
          <w:rFonts w:ascii="Times New Roman" w:eastAsia="Times New Roman" w:hAnsi="Times New Roman" w:cs="Times New Roman"/>
          <w:sz w:val="24"/>
          <w:szCs w:val="24"/>
        </w:rPr>
        <w:t xml:space="preserve"> It is worth noting that since the time of our field sampling, evidence has accumulated that our methods likely dramatically underestimate</w:t>
      </w:r>
      <w:r w:rsidR="00EE52D2">
        <w:rPr>
          <w:rFonts w:ascii="Times New Roman" w:eastAsia="Times New Roman" w:hAnsi="Times New Roman" w:cs="Times New Roman"/>
          <w:sz w:val="24"/>
          <w:szCs w:val="24"/>
        </w:rPr>
        <w:t>d</w:t>
      </w:r>
      <w:r w:rsidR="00491178">
        <w:rPr>
          <w:rFonts w:ascii="Times New Roman" w:eastAsia="Times New Roman" w:hAnsi="Times New Roman" w:cs="Times New Roman"/>
          <w:sz w:val="24"/>
          <w:szCs w:val="24"/>
        </w:rPr>
        <w:t xml:space="preserve"> microplastic abundance</w:t>
      </w:r>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(Wang and Wang 2018; Brandon et al. 2020)</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While we focus here on microplastics as an indicator of human disturbance, microplastics are increasingly shown to disrupt food web dynamics by altering grazing patterns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(Green 2016)</w:t>
      </w:r>
      <w:r w:rsidR="00833C11">
        <w:rPr>
          <w:rFonts w:ascii="Times New Roman" w:eastAsia="Times New Roman" w:hAnsi="Times New Roman" w:cs="Times New Roman"/>
          <w:sz w:val="24"/>
          <w:szCs w:val="24"/>
        </w:rPr>
        <w:fldChar w:fldCharType="end"/>
      </w:r>
      <w:r w:rsidR="00833C11">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and providing carbon substrate for microbial growth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w:t>
      </w:r>
      <w:proofErr w:type="spellStart"/>
      <w:r w:rsidR="00833C11" w:rsidRPr="00833C11">
        <w:rPr>
          <w:rFonts w:ascii="Times New Roman" w:hAnsi="Times New Roman" w:cs="Times New Roman"/>
          <w:sz w:val="24"/>
        </w:rPr>
        <w:t>Romera</w:t>
      </w:r>
      <w:proofErr w:type="spellEnd"/>
      <w:r w:rsidR="00833C11" w:rsidRPr="00833C11">
        <w:rPr>
          <w:rFonts w:ascii="Times New Roman" w:hAnsi="Times New Roman" w:cs="Times New Roman"/>
          <w:sz w:val="24"/>
        </w:rPr>
        <w:t>-Castillo et al. 2018)</w:t>
      </w:r>
      <w:r w:rsidR="00833C11">
        <w:rPr>
          <w:rFonts w:ascii="Times New Roman" w:eastAsia="Times New Roman" w:hAnsi="Times New Roman" w:cs="Times New Roman"/>
          <w:sz w:val="24"/>
          <w:szCs w:val="24"/>
        </w:rPr>
        <w:fldChar w:fldCharType="end"/>
      </w:r>
      <w:r w:rsidR="00EE52D2">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71FC0D7" w14:textId="50853FE6" w:rsidR="00715D55" w:rsidRDefault="00EE5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shoreline, increasing sewage indicators</w:t>
      </w:r>
      <w:r w:rsidDel="00EE52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as well as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and caddisfly</w:t>
      </w:r>
      <w:r w:rsidR="00BF09EC">
        <w:rPr>
          <w:rFonts w:ascii="Times New Roman" w:eastAsia="Times New Roman" w:hAnsi="Times New Roman" w:cs="Times New Roman"/>
          <w:sz w:val="24"/>
          <w:szCs w:val="24"/>
        </w:rPr>
        <w:t xml:space="preserve"> abundances</w:t>
      </w:r>
      <w:r w:rsidR="00D8535D">
        <w:rPr>
          <w:rFonts w:ascii="Times New Roman" w:eastAsia="Times New Roman" w:hAnsi="Times New Roman" w:cs="Times New Roman"/>
          <w:sz w:val="24"/>
          <w:szCs w:val="24"/>
        </w:rPr>
        <w:t xml:space="preserve">. Previous studies investigating Baikal’s periphyton composition noted that areas adjacent to human development often had increased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0307DE">
        <w:rPr>
          <w:rFonts w:ascii="Times New Roman" w:eastAsia="Times New Roman" w:hAnsi="Times New Roman" w:cs="Times New Roman"/>
          <w:sz w:val="24"/>
          <w:szCs w:val="24"/>
        </w:rPr>
        <w:t xml:space="preserve">Even though </w:t>
      </w:r>
      <w:proofErr w:type="spellStart"/>
      <w:r w:rsidR="000307DE">
        <w:rPr>
          <w:rFonts w:ascii="Times New Roman" w:eastAsia="Times New Roman" w:hAnsi="Times New Roman" w:cs="Times New Roman"/>
          <w:sz w:val="24"/>
          <w:szCs w:val="24"/>
        </w:rPr>
        <w:t>Timoshkin</w:t>
      </w:r>
      <w:proofErr w:type="spellEnd"/>
      <w:r w:rsidR="000307DE">
        <w:rPr>
          <w:rFonts w:ascii="Times New Roman" w:eastAsia="Times New Roman" w:hAnsi="Times New Roman" w:cs="Times New Roman"/>
          <w:sz w:val="24"/>
          <w:szCs w:val="24"/>
        </w:rPr>
        <w:t xml:space="preserve"> et al., (2016, 2018) present a convincing argument, </w:t>
      </w:r>
      <w:r w:rsidR="00D8535D">
        <w:rPr>
          <w:rFonts w:ascii="Times New Roman" w:eastAsia="Times New Roman" w:hAnsi="Times New Roman" w:cs="Times New Roman"/>
          <w:sz w:val="24"/>
          <w:szCs w:val="24"/>
        </w:rPr>
        <w:t xml:space="preserve">Lake Baikal’s southwestern shore often experiences increased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Kozhov</w:t>
      </w:r>
      <w:proofErr w:type="spellEnd"/>
      <w:r w:rsidR="006F5F57" w:rsidRPr="006F5F57">
        <w:rPr>
          <w:rFonts w:ascii="Times New Roman" w:hAnsi="Times New Roman" w:cs="Times New Roman"/>
          <w:sz w:val="24"/>
        </w:rPr>
        <w:t xml:space="preserve">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corroborate </w:t>
      </w:r>
      <w:proofErr w:type="spellStart"/>
      <w:r w:rsidR="00D8535D">
        <w:rPr>
          <w:rFonts w:ascii="Times New Roman" w:eastAsia="Times New Roman" w:hAnsi="Times New Roman" w:cs="Times New Roman"/>
          <w:sz w:val="24"/>
          <w:szCs w:val="24"/>
        </w:rPr>
        <w:t>Timoshkin’s</w:t>
      </w:r>
      <w:proofErr w:type="spellEnd"/>
      <w:r w:rsidR="00D8535D">
        <w:rPr>
          <w:rFonts w:ascii="Times New Roman" w:eastAsia="Times New Roman" w:hAnsi="Times New Roman" w:cs="Times New Roman"/>
          <w:sz w:val="24"/>
          <w:szCs w:val="24"/>
        </w:rPr>
        <w:t xml:space="preserve"> surveys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that </w:t>
      </w:r>
      <w:r w:rsidR="00D8535D">
        <w:rPr>
          <w:rFonts w:ascii="Times New Roman" w:eastAsia="Times New Roman" w:hAnsi="Times New Roman" w:cs="Times New Roman"/>
          <w:i/>
          <w:sz w:val="24"/>
          <w:szCs w:val="24"/>
        </w:rPr>
        <w:t xml:space="preserve">Spirogyra </w:t>
      </w:r>
      <w:r w:rsidR="00D8535D">
        <w:rPr>
          <w:rFonts w:ascii="Times New Roman" w:eastAsia="Times New Roman" w:hAnsi="Times New Roman" w:cs="Times New Roman"/>
          <w:sz w:val="24"/>
          <w:szCs w:val="24"/>
        </w:rPr>
        <w:t xml:space="preserve">as well as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abundance is greatest near areas of high lakeside development. While not observed at the same magnitude as reported in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tend to be more susceptible to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 especially caffeine and its metabolites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
    <w:p w14:paraId="1835E547" w14:textId="11D1768B" w:rsidR="00715D55" w:rsidRDefault="00D8535D">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food webs would restructure with a changing community composition, our data suggest a nuanced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response to increasing sewage signal. Periphyton essential fatty acid profiles from sites with higher sewage pollution had higher levels of 18:3ω3 and 18:4ω3 relative to C20:5ω3 and C22:6ω3 fatty acids. Because fatty acid profiles tend to be indicative of algal species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{"citationID":"Ae34lWiU","properties":{"formattedCitation":"(Iverson et al. 2004; Taipale et al. 2013; Galloway and Winder 2015)","plainCitation":"(Iverson et al. 2004;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(Iverson et al. 2004; Taipale et al. 2013; Galloway and Winder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this pattern likely reflects the higher abundance of green algae relative to diatoms.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{"citationID":"4aghBuiq","properties":{"formattedCitation":"(Osipova et al. 2009; Taipale et al. 2013)","plainCitation":"(Osipova et al. 2009; Taipale et al. 2013)","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t>
      </w:r>
      <w:proofErr w:type="spellStart"/>
      <w:r w:rsidR="00C131EF" w:rsidRPr="00C131EF">
        <w:rPr>
          <w:rFonts w:ascii="Times New Roman" w:hAnsi="Times New Roman" w:cs="Times New Roman"/>
          <w:sz w:val="24"/>
        </w:rPr>
        <w:t>Osipova</w:t>
      </w:r>
      <w:proofErr w:type="spellEnd"/>
      <w:r w:rsidR="00C131EF" w:rsidRPr="00C131EF">
        <w:rPr>
          <w:rFonts w:ascii="Times New Roman" w:hAnsi="Times New Roman" w:cs="Times New Roman"/>
          <w:sz w:val="24"/>
        </w:rPr>
        <w:t xml:space="preserve"> et al. 2009; Taipale et al. 2013)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Stable isotopes, however, suggested no differences in periphyton </w:t>
      </w:r>
      <w:r>
        <w:rPr>
          <w:rFonts w:ascii="Times New Roman" w:eastAsia="Times New Roman" w:hAnsi="Times New Roman" w:cs="Times New Roman"/>
          <w:sz w:val="24"/>
          <w:szCs w:val="24"/>
          <w:highlight w:val="white"/>
        </w:rPr>
        <w:t xml:space="preserve">δN15% with increasing distance-weighted population (Figure 5). </w:t>
      </w:r>
      <w:r>
        <w:rPr>
          <w:rFonts w:ascii="Times New Roman" w:eastAsia="Times New Roman" w:hAnsi="Times New Roman" w:cs="Times New Roman"/>
          <w:sz w:val="24"/>
          <w:szCs w:val="24"/>
        </w:rPr>
        <w:t xml:space="preserve">In contrast to periphyton, amphipod fatty acid profiles did not differ between sites (Figure 6), whereas </w:t>
      </w:r>
      <w:r>
        <w:rPr>
          <w:rFonts w:ascii="Times New Roman" w:eastAsia="Times New Roman" w:hAnsi="Times New Roman" w:cs="Times New Roman"/>
          <w:sz w:val="24"/>
          <w:szCs w:val="24"/>
          <w:highlight w:val="white"/>
        </w:rPr>
        <w:t xml:space="preserve">δN15% increased slightly yet significantly with increasing distance-weighted population. The differing periphyton and amphipod δN15% signatures in relation to distance-weighted population </w:t>
      </w:r>
      <w:r w:rsidR="00232F99">
        <w:rPr>
          <w:rFonts w:ascii="Times New Roman" w:eastAsia="Times New Roman" w:hAnsi="Times New Roman" w:cs="Times New Roman"/>
          <w:sz w:val="24"/>
          <w:szCs w:val="24"/>
          <w:highlight w:val="white"/>
        </w:rPr>
        <w:t>may relate</w:t>
      </w:r>
      <w:r>
        <w:rPr>
          <w:rFonts w:ascii="Times New Roman" w:eastAsia="Times New Roman" w:hAnsi="Times New Roman" w:cs="Times New Roman"/>
          <w:sz w:val="24"/>
          <w:szCs w:val="24"/>
          <w:highlight w:val="white"/>
        </w:rPr>
        <w:t xml:space="preserve"> to amphipods having longer cellular turnover rates (e.g., weeks, </w:t>
      </w:r>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 xml:space="preserve">(McIntyre and </w:t>
      </w:r>
      <w:proofErr w:type="spellStart"/>
      <w:r w:rsidR="00C131EF" w:rsidRPr="00C131EF">
        <w:rPr>
          <w:rFonts w:ascii="Times New Roman" w:hAnsi="Times New Roman" w:cs="Times New Roman"/>
          <w:sz w:val="24"/>
          <w:highlight w:val="white"/>
        </w:rPr>
        <w:t>Flecker</w:t>
      </w:r>
      <w:proofErr w:type="spellEnd"/>
      <w:r w:rsidR="00C131EF" w:rsidRPr="00C131EF">
        <w:rPr>
          <w:rFonts w:ascii="Times New Roman" w:hAnsi="Times New Roman" w:cs="Times New Roman"/>
          <w:sz w:val="24"/>
          <w:highlight w:val="white"/>
        </w:rPr>
        <w:t xml:space="preserve"> 2006)</w:t>
      </w:r>
      <w:r w:rsidR="00C131EF">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xml:space="preserve">) relative to periphyton (e.g., days; </w:t>
      </w:r>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w:t>
      </w:r>
      <w:proofErr w:type="spellStart"/>
      <w:r w:rsidR="00C131EF" w:rsidRPr="00C131EF">
        <w:rPr>
          <w:rFonts w:ascii="Times New Roman" w:hAnsi="Times New Roman" w:cs="Times New Roman"/>
          <w:sz w:val="24"/>
          <w:highlight w:val="white"/>
        </w:rPr>
        <w:t>Swamikannu</w:t>
      </w:r>
      <w:proofErr w:type="spellEnd"/>
      <w:r w:rsidR="00C131EF" w:rsidRPr="00C131EF">
        <w:rPr>
          <w:rFonts w:ascii="Times New Roman" w:hAnsi="Times New Roman" w:cs="Times New Roman"/>
          <w:sz w:val="24"/>
          <w:highlight w:val="white"/>
        </w:rPr>
        <w:t xml:space="preserve"> and Hoagland 1989)</w:t>
      </w:r>
      <w:r w:rsidR="00C131EF">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xml:space="preserve">). This insight </w:t>
      </w:r>
      <w:r>
        <w:rPr>
          <w:rFonts w:ascii="Times New Roman" w:eastAsia="Times New Roman" w:hAnsi="Times New Roman" w:cs="Times New Roman"/>
          <w:sz w:val="24"/>
          <w:szCs w:val="24"/>
          <w:highlight w:val="white"/>
        </w:rPr>
        <w:lastRenderedPageBreak/>
        <w:t xml:space="preserve">implies that amphipods may be long-term indicators of sewage pollution into Baikal, whereas periphyton offers a more instantaneous sewage signal. </w:t>
      </w:r>
    </w:p>
    <w:p w14:paraId="66A9A14B" w14:textId="58A3B82F"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variation in periphyton’s fatty acids yet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consistency in amphipods’ fatty acids, our results suggest that amphipods are able to maintain a consistent fatty acid signature through </w:t>
      </w:r>
      <w:r w:rsidR="008C6721">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potential mechanisms. First, amphipods may selectively consume diatoms as opposed to filamentous algae. As a result, grazing pressure on diatoms would increase, and diatom relative abundance could decrease both from increased grazing and lesser efficiency at removing nutrients from the water column relative to filamentous taxa. Second, amphipods may indeed consume filamentous algae, and then invest energy to convert C18 fatty acids to C20 and C22 fatty acids. Consequently, amphipods would need to catabolize fatty acids necessary to survive in Baikal’s cold temperatures. </w:t>
      </w:r>
      <w:r w:rsidR="008C6721">
        <w:rPr>
          <w:rFonts w:ascii="Times New Roman" w:eastAsia="Times New Roman" w:hAnsi="Times New Roman" w:cs="Times New Roman"/>
          <w:sz w:val="24"/>
          <w:szCs w:val="24"/>
        </w:rPr>
        <w:t>Third,</w:t>
      </w:r>
      <w:r w:rsidR="009D6A53">
        <w:rPr>
          <w:rFonts w:ascii="Times New Roman" w:eastAsia="Times New Roman" w:hAnsi="Times New Roman" w:cs="Times New Roman"/>
          <w:sz w:val="24"/>
          <w:szCs w:val="24"/>
        </w:rPr>
        <w:t xml:space="preserve"> amphipod fatty acid turnover</w:t>
      </w:r>
      <w:r w:rsidR="00BF09EC">
        <w:rPr>
          <w:rFonts w:ascii="Times New Roman" w:eastAsia="Times New Roman" w:hAnsi="Times New Roman" w:cs="Times New Roman"/>
          <w:sz w:val="24"/>
          <w:szCs w:val="24"/>
        </w:rPr>
        <w:t xml:space="preserve"> could be longer than</w:t>
      </w:r>
      <w:r w:rsidR="009D6A53">
        <w:rPr>
          <w:rFonts w:ascii="Times New Roman" w:eastAsia="Times New Roman" w:hAnsi="Times New Roman" w:cs="Times New Roman"/>
          <w:sz w:val="24"/>
          <w:szCs w:val="24"/>
        </w:rPr>
        <w:t xml:space="preserve"> periphyton</w:t>
      </w:r>
      <w:r w:rsidR="00BF09EC">
        <w:rPr>
          <w:rFonts w:ascii="Times New Roman" w:eastAsia="Times New Roman" w:hAnsi="Times New Roman" w:cs="Times New Roman"/>
          <w:sz w:val="24"/>
          <w:szCs w:val="24"/>
        </w:rPr>
        <w:t xml:space="preserve"> fatty acid turnover rates</w:t>
      </w:r>
      <w:r w:rsidR="009D6A53">
        <w:rPr>
          <w:rFonts w:ascii="Times New Roman" w:eastAsia="Times New Roman" w:hAnsi="Times New Roman" w:cs="Times New Roman"/>
          <w:sz w:val="24"/>
          <w:szCs w:val="24"/>
        </w:rPr>
        <w:t>, much like how amphipods</w:t>
      </w:r>
      <w:r w:rsidR="00BF09EC">
        <w:rPr>
          <w:rFonts w:ascii="Times New Roman" w:eastAsia="Times New Roman" w:hAnsi="Times New Roman" w:cs="Times New Roman"/>
          <w:sz w:val="24"/>
          <w:szCs w:val="24"/>
        </w:rPr>
        <w:t>’</w:t>
      </w:r>
      <w:r w:rsidR="009D6A53">
        <w:rPr>
          <w:rFonts w:ascii="Times New Roman" w:eastAsia="Times New Roman" w:hAnsi="Times New Roman" w:cs="Times New Roman"/>
          <w:sz w:val="24"/>
          <w:szCs w:val="24"/>
        </w:rPr>
        <w:t xml:space="preserve"> </w:t>
      </w:r>
      <w:r w:rsidR="009D6A53">
        <w:rPr>
          <w:rFonts w:ascii="Times New Roman" w:eastAsia="Times New Roman" w:hAnsi="Times New Roman" w:cs="Times New Roman"/>
          <w:sz w:val="24"/>
          <w:szCs w:val="24"/>
          <w:highlight w:val="white"/>
        </w:rPr>
        <w:t xml:space="preserve">δN15% </w:t>
      </w:r>
      <w:r w:rsidR="00BF09EC">
        <w:rPr>
          <w:rFonts w:ascii="Times New Roman" w:eastAsia="Times New Roman" w:hAnsi="Times New Roman" w:cs="Times New Roman"/>
          <w:sz w:val="24"/>
          <w:szCs w:val="24"/>
          <w:highlight w:val="white"/>
        </w:rPr>
        <w:t>turnover rates were longer than</w:t>
      </w:r>
      <w:r w:rsidR="009D6A53">
        <w:rPr>
          <w:rFonts w:ascii="Times New Roman" w:eastAsia="Times New Roman" w:hAnsi="Times New Roman" w:cs="Times New Roman"/>
          <w:sz w:val="24"/>
          <w:szCs w:val="24"/>
          <w:highlight w:val="white"/>
        </w:rPr>
        <w:t xml:space="preserve"> </w:t>
      </w:r>
      <w:r w:rsidR="00BF09EC">
        <w:rPr>
          <w:rFonts w:ascii="Times New Roman" w:eastAsia="Times New Roman" w:hAnsi="Times New Roman" w:cs="Times New Roman"/>
          <w:sz w:val="24"/>
          <w:szCs w:val="24"/>
          <w:highlight w:val="white"/>
        </w:rPr>
        <w:t xml:space="preserve">those for </w:t>
      </w:r>
      <w:r w:rsidR="009D6A53">
        <w:rPr>
          <w:rFonts w:ascii="Times New Roman" w:eastAsia="Times New Roman" w:hAnsi="Times New Roman" w:cs="Times New Roman"/>
          <w:sz w:val="24"/>
          <w:szCs w:val="24"/>
          <w:highlight w:val="white"/>
        </w:rPr>
        <w:t xml:space="preserve">periphyton. </w:t>
      </w:r>
      <w:r>
        <w:rPr>
          <w:rFonts w:ascii="Times New Roman" w:eastAsia="Times New Roman" w:hAnsi="Times New Roman" w:cs="Times New Roman"/>
          <w:sz w:val="24"/>
          <w:szCs w:val="24"/>
        </w:rPr>
        <w:t>Regardless of the exact mechanism, our data support the hypothesis that increasing sewage pollution would alter community trophic interactions, which suggests a net energetic cost through amph</w:t>
      </w:r>
      <w:r w:rsidR="00232F99">
        <w:rPr>
          <w:rFonts w:ascii="Times New Roman" w:eastAsia="Times New Roman" w:hAnsi="Times New Roman" w:cs="Times New Roman"/>
          <w:sz w:val="24"/>
          <w:szCs w:val="24"/>
        </w:rPr>
        <w:t>ip</w:t>
      </w:r>
      <w:r>
        <w:rPr>
          <w:rFonts w:ascii="Times New Roman" w:eastAsia="Times New Roman" w:hAnsi="Times New Roman" w:cs="Times New Roman"/>
          <w:sz w:val="24"/>
          <w:szCs w:val="24"/>
        </w:rPr>
        <w:t xml:space="preserve">ods’ increased grazing pressure on diatoms or </w:t>
      </w:r>
      <w:r w:rsidR="00BD46C3">
        <w:rPr>
          <w:rFonts w:ascii="Times New Roman" w:eastAsia="Times New Roman" w:hAnsi="Times New Roman" w:cs="Times New Roman"/>
          <w:sz w:val="24"/>
          <w:szCs w:val="24"/>
        </w:rPr>
        <w:t>consumption</w:t>
      </w:r>
      <w:r>
        <w:rPr>
          <w:rFonts w:ascii="Times New Roman" w:eastAsia="Times New Roman" w:hAnsi="Times New Roman" w:cs="Times New Roman"/>
          <w:sz w:val="24"/>
          <w:szCs w:val="24"/>
        </w:rPr>
        <w:t xml:space="preserve"> of filamentous algae.   </w:t>
      </w:r>
    </w:p>
    <w:p w14:paraId="149DA58C" w14:textId="3A4C5AA2"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Together, our results corroborate previous studies by suggesting sewage pollution </w:t>
      </w:r>
      <w:r w:rsidR="00CF3363">
        <w:rPr>
          <w:rFonts w:ascii="Times New Roman" w:eastAsia="Times New Roman" w:hAnsi="Times New Roman" w:cs="Times New Roman"/>
          <w:sz w:val="24"/>
          <w:szCs w:val="24"/>
        </w:rPr>
        <w:t>is occurring</w:t>
      </w:r>
      <w:r>
        <w:rPr>
          <w:rFonts w:ascii="Times New Roman" w:eastAsia="Times New Roman" w:hAnsi="Times New Roman" w:cs="Times New Roman"/>
          <w:sz w:val="24"/>
          <w:szCs w:val="24"/>
        </w:rPr>
        <w:t xml:space="preserve"> </w:t>
      </w:r>
      <w:r w:rsidR="00CF3363">
        <w:rPr>
          <w:rFonts w:ascii="Times New Roman" w:eastAsia="Times New Roman" w:hAnsi="Times New Roman" w:cs="Times New Roman"/>
          <w:sz w:val="24"/>
          <w:szCs w:val="24"/>
        </w:rPr>
        <w:t>in Lake Baikal’s nearshore area</w:t>
      </w:r>
      <w:bookmarkStart w:id="3" w:name="_GoBack"/>
      <w:bookmarkEnd w:id="3"/>
      <w:r w:rsidR="00CF3363">
        <w:rPr>
          <w:rFonts w:ascii="Times New Roman" w:eastAsia="Times New Roman" w:hAnsi="Times New Roman" w:cs="Times New Roman"/>
          <w:sz w:val="24"/>
          <w:szCs w:val="24"/>
        </w:rPr>
        <w:t xml:space="preserve"> with</w:t>
      </w:r>
      <w:r w:rsidR="00BD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ecological consequences. Unlike previous studies, though, our results demonstrate how patchy hot spots of lakeside development can create gradients of human disturbance. While PPCP hot spots as well as gradients have been observed in lotic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{"citationID":"h5cxiItD","properties":{"formattedCitation":"(Bendz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t>
      </w:r>
      <w:proofErr w:type="spellStart"/>
      <w:r w:rsidR="00C131EF" w:rsidRPr="00C131EF">
        <w:rPr>
          <w:rFonts w:ascii="Times New Roman" w:hAnsi="Times New Roman" w:cs="Times New Roman"/>
          <w:sz w:val="24"/>
        </w:rPr>
        <w:t>Bendz</w:t>
      </w:r>
      <w:proofErr w:type="spellEnd"/>
      <w:r w:rsidR="00C131EF" w:rsidRPr="00C131EF">
        <w:rPr>
          <w:rFonts w:ascii="Times New Roman" w:hAnsi="Times New Roman" w:cs="Times New Roman"/>
          <w:sz w:val="24"/>
        </w:rPr>
        <w:t xml:space="preserve"> et al. 2005)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subsurface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{"citationID":"EQ1DFhx3","properties":{"formattedCitation":"(Yang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(Yang et al. 2016)</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systems, PPCP gradients within lacustrine environments are less well understood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{"citationID":"TcHZD4Zu","properties":{"formattedCitation":"(Meyer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(Meyer et 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the case of Lake Baikal, internal mixing from currents and wave action (</w:t>
      </w:r>
      <w:proofErr w:type="spellStart"/>
      <w:r>
        <w:rPr>
          <w:rFonts w:ascii="Times New Roman" w:eastAsia="Times New Roman" w:hAnsi="Times New Roman" w:cs="Times New Roman"/>
          <w:sz w:val="24"/>
          <w:szCs w:val="24"/>
        </w:rPr>
        <w:t>Shimaraev</w:t>
      </w:r>
      <w:proofErr w:type="spellEnd"/>
      <w:r>
        <w:rPr>
          <w:rFonts w:ascii="Times New Roman" w:eastAsia="Times New Roman" w:hAnsi="Times New Roman" w:cs="Times New Roman"/>
          <w:sz w:val="24"/>
          <w:szCs w:val="24"/>
        </w:rPr>
        <w:t xml:space="preserve"> et al., 199</w:t>
      </w:r>
      <w:r w:rsidR="00C131E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likely created the PPCP gradient we observed. While ecological responses to thermal gradients created by hydrodynamics has been well studied in Lake Baikal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{"citationID":"olEcREqC","properties":{"formattedCitation":"(Kozhov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t>
      </w:r>
      <w:proofErr w:type="spellStart"/>
      <w:r w:rsidR="00C131EF" w:rsidRPr="00C131EF">
        <w:rPr>
          <w:rFonts w:ascii="Times New Roman" w:hAnsi="Times New Roman" w:cs="Times New Roman"/>
          <w:sz w:val="24"/>
        </w:rPr>
        <w:t>Kozhov</w:t>
      </w:r>
      <w:proofErr w:type="spellEnd"/>
      <w:r w:rsidR="00C131EF" w:rsidRPr="00C131EF">
        <w:rPr>
          <w:rFonts w:ascii="Times New Roman" w:hAnsi="Times New Roman" w:cs="Times New Roman"/>
          <w:sz w:val="24"/>
        </w:rPr>
        <w:t xml:space="preserve"> 1963)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potential for Baikal’s physical processes, and lentic systems’ globally, to influence pollutant concentrations presents a new frontier in understanding heterogeneity of human disturbance. Large lakes, such as Baikal and other Great Lakes of the world, may have complex internal physical processes creating heterogeneities, such as </w:t>
      </w:r>
      <w:proofErr w:type="spellStart"/>
      <w:r>
        <w:rPr>
          <w:rFonts w:ascii="Times New Roman" w:eastAsia="Times New Roman" w:hAnsi="Times New Roman" w:cs="Times New Roman"/>
          <w:sz w:val="24"/>
          <w:szCs w:val="24"/>
        </w:rPr>
        <w:t>Poincaré</w:t>
      </w:r>
      <w:proofErr w:type="spellEnd"/>
      <w:r>
        <w:rPr>
          <w:rFonts w:ascii="Times New Roman" w:eastAsia="Times New Roman" w:hAnsi="Times New Roman" w:cs="Times New Roman"/>
          <w:sz w:val="24"/>
          <w:szCs w:val="24"/>
        </w:rPr>
        <w:t xml:space="preserve"> waves or Langmuir circulation, whereas smaller lakes may be more influenced by traveling surface waves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{"citationID":"o3OVrfdS","properties":{"formattedCitation":"(Wetzel 2001)","plainCitation":"(Wetzel 2001)","noteIndex":0},"citationItems":[{"id":2710,"uris":["http://zotero.org/users/2645460/items/PU3YFEDI"],"uri":["http://zotero.org/users/2645460/items/PU3YFEDI"],"itemData":{"id":2710,"type":"book","archive":"WorldCat.org","edition":"3rd ed.","event-place":"San Diego","ISBN":"0-12-744760-1","language":"English","publisher":"Academic Press","publisher-place":"San Diego","title":"Limnology : lake and river ecosystems","URL":"http://catdir.loc.gov/catdir/enhancements/fy0610/00110178-t.html","author":[{"family":"Wetzel","given":"Robert G."}],"issued":{"date-parts":[["2001"]]}}}],"schema":"https://github.com/citation-style-language/schema/raw/master/csl-citation.json"}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(Wetzel 2001)</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Given lacustrine physical processes’ potential to influence contaminant distributions and ecological communities, our results highlight how nuanced physical, chemical, and biological </w:t>
      </w:r>
      <w:r w:rsidR="00CF3363">
        <w:rPr>
          <w:rFonts w:ascii="Times New Roman" w:eastAsia="Times New Roman" w:hAnsi="Times New Roman" w:cs="Times New Roman"/>
          <w:sz w:val="24"/>
          <w:szCs w:val="24"/>
        </w:rPr>
        <w:t xml:space="preserve">measurements may </w:t>
      </w:r>
      <w:r>
        <w:rPr>
          <w:rFonts w:ascii="Times New Roman" w:eastAsia="Times New Roman" w:hAnsi="Times New Roman" w:cs="Times New Roman"/>
          <w:sz w:val="24"/>
          <w:szCs w:val="24"/>
        </w:rPr>
        <w:t xml:space="preserve">be necessary to define heterogeneous disturbances and ecological responses. </w:t>
      </w:r>
    </w:p>
    <w:p w14:paraId="7EE4A387" w14:textId="77777777" w:rsidR="00715D55" w:rsidRDefault="00715D55">
      <w:pPr>
        <w:ind w:firstLine="720"/>
        <w:rPr>
          <w:rFonts w:ascii="Times New Roman" w:eastAsia="Times New Roman" w:hAnsi="Times New Roman" w:cs="Times New Roman"/>
          <w:sz w:val="24"/>
          <w:szCs w:val="24"/>
        </w:rPr>
      </w:pPr>
    </w:p>
    <w:p w14:paraId="246270A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Future research trajectories in the context of a changing climate</w:t>
      </w:r>
    </w:p>
    <w:p w14:paraId="6F894F6C" w14:textId="77777777" w:rsidR="00715D55" w:rsidRDefault="00715D55">
      <w:pPr>
        <w:rPr>
          <w:rFonts w:ascii="Times New Roman" w:eastAsia="Times New Roman" w:hAnsi="Times New Roman" w:cs="Times New Roman"/>
          <w:sz w:val="24"/>
          <w:szCs w:val="24"/>
        </w:rPr>
      </w:pPr>
    </w:p>
    <w:p w14:paraId="01B8D361" w14:textId="49CF23E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Ancient Lake Baikal remains a biodiversity hot spot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{"citationID":"hZWSj1AC","properties":{"formattedCitation":"(Hampton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(Hampton et al. 2018)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 the majority of endemic species tend to be cryophilic </w:t>
      </w:r>
      <w:proofErr w:type="spellStart"/>
      <w:r>
        <w:rPr>
          <w:rFonts w:ascii="Times New Roman" w:eastAsia="Times New Roman" w:hAnsi="Times New Roman" w:cs="Times New Roman"/>
          <w:sz w:val="24"/>
          <w:szCs w:val="24"/>
        </w:rPr>
        <w:t>stenotherms</w:t>
      </w:r>
      <w:proofErr w:type="spellEnd"/>
      <w:r>
        <w:rPr>
          <w:rFonts w:ascii="Times New Roman" w:eastAsia="Times New Roman" w:hAnsi="Times New Roman" w:cs="Times New Roman"/>
          <w:sz w:val="24"/>
          <w:szCs w:val="24"/>
        </w:rPr>
        <w:t xml:space="preserv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{"citationID":"jyd5ANz8","properties":{"formattedCitation":"(Kozhova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w:t>
      </w:r>
      <w:proofErr w:type="spellStart"/>
      <w:r w:rsidR="00C131EF" w:rsidRPr="00C131EF">
        <w:rPr>
          <w:rFonts w:ascii="Times New Roman" w:hAnsi="Times New Roman" w:cs="Times New Roman"/>
          <w:sz w:val="24"/>
          <w:szCs w:val="24"/>
        </w:rPr>
        <w:t>Kozhova</w:t>
      </w:r>
      <w:proofErr w:type="spellEnd"/>
      <w:r w:rsidR="00C131EF" w:rsidRPr="00C131EF">
        <w:rPr>
          <w:rFonts w:ascii="Times New Roman" w:hAnsi="Times New Roman" w:cs="Times New Roman"/>
          <w:sz w:val="24"/>
          <w:szCs w:val="24"/>
        </w:rPr>
        <w:t xml:space="preserve"> and </w:t>
      </w:r>
      <w:proofErr w:type="spellStart"/>
      <w:r w:rsidR="00C131EF" w:rsidRPr="00C131EF">
        <w:rPr>
          <w:rFonts w:ascii="Times New Roman" w:hAnsi="Times New Roman" w:cs="Times New Roman"/>
          <w:sz w:val="24"/>
          <w:szCs w:val="24"/>
        </w:rPr>
        <w:t>Izmest’eva</w:t>
      </w:r>
      <w:proofErr w:type="spellEnd"/>
      <w:r w:rsidR="00C131EF" w:rsidRPr="00C131EF">
        <w:rPr>
          <w:rFonts w:ascii="Times New Roman" w:hAnsi="Times New Roman" w:cs="Times New Roman"/>
          <w:sz w:val="24"/>
          <w:szCs w:val="24"/>
        </w:rPr>
        <w:t xml:space="preserve"> 1998)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increasing lake temperatures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{"citationID":"Efbhknqj","properties":{"formattedCitation":"(O\\uc0\\u8217{}Reilly et al. 2015)","plainCitation":"(O’Reilly et al. 2015)","noteIndex":0},"citationItems":[{"id":276,"uris":["http://zotero.org/users/2645460/items/XH766HGN"],"uri":["http://zotero.org/users/2645460/items/XH766HGN"],"itemData":{"id":276,"type":"article-journal","container-title":"Geophysical Research Letters","DOI":"10.1002/2015GL066235","ISSN":"00948276","issue":"24","language":"en","page":"10,773-10,781","source":"CrossRef","title":"Rapid and highly variable warming of lake surface waters around the globe: GLOBAL LAKE SURFACE WARMING","title-short":"Rapid and highly variable warming of lake surface waters around the globe","volume":"42","author":[{"family":"O'Reilly","given":"Catherine M."},{"family":"Sharma","given":"Sapna"},{"family":"Gray","given":"Derek K."},{"family":"Hampton","given":"Stephanie E."},{"family":"Read","given":"Jordan S."},{"family":"Rowley","given":"Rex J."},{"family":"Schneider","given":"Philipp"},{"family":"Lenters","given":"John D."},{"family":"McIntyre","given":"Peter B."},{"family":"Kraemer","given":"Benjamin M."},{"family":"Weyhenmeyer","given":"Gesa A."},{"family":"Straile","given":"Dietmar"},{"family":"Dong","given":"Bo"},{"family":"Adrian","given":"Rita"},{"family":"Allan","given":"Mathew G."},{"family":"Anneville","given":"Orlane"},{"family":"Arvola","given":"Lauri"},{"family":"Austin","given":"Jay"},{"family":"Bailey","given":"John L."},{"family":"Baron","given":"Jill S."},{"family":"Brookes","given":"Justin D."},{"family":"Eyto","given":"Elvira","non-dropping-particle":"de"},{"family":"Dokulil","given":"Martin T."},{"family":"Hamilton","given":"David P."},{"family":"Havens","given":"Karl"},{"family":"Hetherington","given":"Amy L."},{"family":"Higgins","given":"Scott N."},{"family":"Hook","given":"Simon"},{"family":"Izmest'eva","given":"Lyubov R."},{"family":"Joehnk","given":"Klaus D."},{"family":"Kangur","given":"Kulli"},{"family":"Kasprzak","given":"Peter"},{"family":"Kumagai","given":"Michio"},{"family":"Kuusisto","given":"Esko"},{"family":"Leshkevich","given":"George"},{"family":"Livingstone","given":"David M."},{"family":"MacIntyre","given":"Sally"},{"family":"May","given":"Linda"},{"family":"Melack","given":"John M."},{"family":"Mueller-Navarra","given":"Doerthe C."},{"family":"Naumenko","given":"Mikhail"},{"family":"Noges","given":"Peeter"},{"family":"Noges","given":"Tiina"},{"family":"North","given":"Ryan P."},{"family":"Plisnier","given":"Pierre-Denis"},{"family":"Rigosi","given":"Anna"},{"family":"Rimmer","given":"Alon"},{"family":"Rogora","given":"Michela"},{"family":"Rudstam","given":"Lars G."},{"family":"Rusak","given":"James A."},{"family":"Salmaso","given":"Nico"},{"family":"Samal","given":"Nihar R."},{"family":"Schindler","given":"Daniel E."},{"family":"Schladow","given":"S. Geoffrey"},{"family":"Schmid","given":"Martin"},{"family":"Schmidt","given":"Silke R."},{"family":"Silow","given":"Eugene"},{"family":"Soylu","given":"M. Evren"},{"family":"Teubner","given":"Katrin"},{"family":"Verburg","given":"Piet"},{"family":"Voutilainen","given":"Ari"},{"family":"Watkinson","given":"Andrew"},{"family":"Williamson","given":"Craig E."},{"family":"Zhang","given":"Guoqing"}],"issued":{"date-parts":[["2015",12,28]]}}}],"schema":"https://github.com/citation-style-language/schema/raw/master/csl-citation.json"}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(O’Reilly et al.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less consistent ice coverage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{"citationID":"DvbFuiCg","properties":{"formattedCitation":"(Sharma et al. 2019)","plainCitation":"(Sharma et al. 2019)","noteIndex":0},"citationItems":[{"id":2715,"uris":["http://zotero.org/users/2645460/items/MIHCJF6E"],"uri":["http://zotero.org/users/2645460/items/MIHCJF6E"],"itemData":{"id":2715,"type":"article-journal","container-title":"Nature Climate Change","DOI":"10.1038/s41558-018-0393-5","ISSN":"1758-678X, 1758-6798","issue":"3","journalAbbreviation":"Nat. Clim. Chang.","language":"en","page":"227-231","source":"DOI.org (Crossref)","title":"Widespread loss of lake ice around the Northern Hemisphere in a warming world","volume":"9","author":[{"family":"Sharma","given":"Sapna"},{"family":"Blagrave","given":"Kevin"},{"family":"Magnuson","given":"John J."},{"family":"O’Reilly","given":"Catherine M."},{"family":"Oliver","given":"Samantha"},{"family":"Batt","given":"Ryan D."},{"family":"Magee","given":"Madeline R."},{"family":"Straile","given":"Dietmar"},{"family":"Weyhenmeyer","given":"Gesa A."},{"family":"Winslow","given":"Luke"},{"family":"Woolway","given":"R. Iestyn"}],"issued":{"date-parts":[["2019",3]]}}}],"schema":"https://github.com/citation-style-language/schema/raw/master/csl-citation.json"}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(Sharma et 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worldwide, it is unclear how cold-water adapted species will respond to a warming </w:t>
      </w:r>
      <w:r>
        <w:rPr>
          <w:rFonts w:ascii="Times New Roman" w:eastAsia="Times New Roman" w:hAnsi="Times New Roman" w:cs="Times New Roman"/>
          <w:sz w:val="24"/>
          <w:szCs w:val="24"/>
        </w:rPr>
        <w:lastRenderedPageBreak/>
        <w:t xml:space="preserve">ambient environment in conjunction with human disturbance. In our study, we demonstrated that littoral amphipods were prevalent throughout the entirety of human disturbance gradients, which are likely products of physical limnological processes. These same physical processes are also influenced by climate </w:t>
      </w:r>
      <w:proofErr w:type="spellStart"/>
      <w:r>
        <w:rPr>
          <w:rFonts w:ascii="Times New Roman" w:eastAsia="Times New Roman" w:hAnsi="Times New Roman" w:cs="Times New Roman"/>
          <w:sz w:val="24"/>
          <w:szCs w:val="24"/>
        </w:rPr>
        <w:t>forcings</w:t>
      </w:r>
      <w:proofErr w:type="spellEnd"/>
      <w:r>
        <w:rPr>
          <w:rFonts w:ascii="Times New Roman" w:eastAsia="Times New Roman" w:hAnsi="Times New Roman" w:cs="Times New Roman"/>
          <w:sz w:val="24"/>
          <w:szCs w:val="24"/>
        </w:rPr>
        <w:t xml:space="preserve">, such as temperature and wind. In the case of Baikal, endemic amphipods are well adapted to intense hydrodynamics </w:t>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{"citationID":"82FRQHg9","properties":{"formattedCitation":"(Jakob et al. 2016)","plainCitation":"(Jakob et al. 2016)","noteIndex":0},"citationItems":[{"id":340,"uris":["http://zotero.org/users/2645460/items/4U6P9GMB"],"uri":["http://zotero.org/users/2645460/items/4U6P9GMB"],"itemData":{"id":340,"type":"article-journal","container-title":"Ecosphere","DOI":"10.1002/ecs2.1308","ISSN":"21508925","issue":"3","language":"en","source":"CrossRef","title":"Lake Baikal amphipods under climate change: thermal constraints and ecological consequences","title-short":"Lake Baikal amphipods under climate change","URL":"http://doi.wiley.com/10.1002/ecs2.1308","volume":"7","author":[{"family":"Jakob","given":"Lena"},{"family":"Axenov-Gribanov","given":"Denis V."},{"family":"Gurkov","given":"Anton N."},{"family":"Ginzburg","given":"Michael"},{"family":"Bedulina","given":"Daria S."},{"family":"Timofeyev","given":"Maxim A."},{"family":"Luckenbach","given":"Till"},{"family":"Lucassen","given":"Magnus"},{"family":"Sartoris","given":"Franz J."},{"family":"Pörtner","given":"Hans-O."}],"editor":[{"family":"Benstead","given":"J."}],"accessed":{"date-parts":[["2016",5,30]]},"issued":{"date-parts":[["2016",3]]}}}],"schema":"https://github.com/citation-style-language/schema/raw/master/csl-citation.json"}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(Jakob et al. 2016)</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yet they have shown acute sensitivity to temperature </w:t>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{"citationID":"Q8NWxvlU","properties":{"formattedCitation":"(Bedulina et al. 2017)","plainCitation":"(Bedulina et al. 2017)","noteIndex":0},"citationItems":[{"id":395,"uris":["http://zotero.org/users/2645460/items/QM6T8BM9"],"uri":["http://zotero.org/users/2645460/items/QM6T8BM9"],"itemData":{"id":395,"type":"article-journal","container-title":"PeerJ","DOI":"10.7717/peerj.2864","ISSN":"2167-8359","language":"en","page":"e2864","source":"CrossRef","title":"Intersexual differences of heat shock response between two amphipods ( &lt;i&gt;Eulimnogammarus verrucosus&lt;/i&gt; and &lt;i&gt;Eulimnogammarus cyaneus&lt;/i&gt; ) in Lake Baikal","volume":"5","author":[{"family":"Bedulina","given":"Daria"},{"family":"Meyer","given":"Michael F."},{"family":"Gurkov","given":"Anton"},{"family":"Kondratjeva","given":"Ekaterina"},{"family":"Baduev","given":"Boris"},{"family":"Gusdorf","given":"Roman"},{"family":"Timofeyev","given":"Maxim A."}],"issued":{"date-parts":[["2017",2,21]]}}}],"schema":"https://github.com/citation-style-language/schema/raw/master/csl-citation.json"}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w:t>
      </w:r>
      <w:proofErr w:type="spellStart"/>
      <w:r w:rsidR="00A92B32" w:rsidRPr="00A92B32">
        <w:rPr>
          <w:rFonts w:ascii="Times New Roman" w:hAnsi="Times New Roman" w:cs="Times New Roman"/>
          <w:sz w:val="24"/>
        </w:rPr>
        <w:t>Bedulina</w:t>
      </w:r>
      <w:proofErr w:type="spellEnd"/>
      <w:r w:rsidR="00A92B32" w:rsidRPr="00A92B32">
        <w:rPr>
          <w:rFonts w:ascii="Times New Roman" w:hAnsi="Times New Roman" w:cs="Times New Roman"/>
          <w:sz w:val="24"/>
        </w:rPr>
        <w:t xml:space="preserve"> et al. 2017)</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toxicants </w:t>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{"citationID":"QrrgEfP7","properties":{"formattedCitation":"(Timofeyev et al. 2008)","plainCitation":"(Timofeyev et al. 2008)","noteIndex":0},"citationItems":[{"id":2718,"uris":["http://zotero.org/users/2645460/items/UI93SQ3F"],"uri":["http://zotero.org/users/2645460/items/UI93SQ3F"],"itemData":{"id":2718,"type":"article-journal","abstract":"This study evaluated small heat shock proteins (sHSP) (related to α-crystallin) and antioxidant enzymes (POD, peroxidase and CAT, catalase) as possible biomarkers for use in toxicological studies. Biochemical responses to cadmium chloride in two Lake Baikal endemic amphipods (Eulimnogammarus verrucosus, Eulimnogammarus cyaneus) and Palearctic species (Gammarus lacustris) were compared. Our findings showed that cadmium chloride toxicity directly influenced POD activity and sHSP synthesis in all amphipod species. The Baikalean endemic and the Palearctic amphipod species responded by decreasing activity of POD and they exhibited a dose-dependent activation of sHSP synthesis. All measured parameters differed among species and depended on the species’ ability to resist cadmium chloride toxicity. CAT activity in the Palearctic species responded significantly to cadmium chloride exposure; however, responses were negligible for both Baikalean species. We suggest that synthesis of sHSP, together with changes in POD activity, could be used as biomarkers for further studies of amphipod species including endemics from Lake Baikal.","container-title":"Ecotoxicology and Environmental Safety","DOI":"10.1016/j.ecoenv.2007.06.014","ISSN":"0147-6513","issue":"1","journalAbbreviation":"Ecotoxicology and Environmental Safety","language":"en","page":"99-105","source":"ScienceDirect","title":"Evaluation of biochemical responses in Palearctic and Lake Baikal endemic amphipod species exposed to CdCl2","volume":"70","author":[{"family":"Timofeyev","given":"M. A."},{"family":"Shatilina","given":"Z. M."},{"family":"Bedulina","given":"D. S."},{"family":"Protopopova","given":"M. V."},{"family":"Pavlichenko","given":"V. V."},{"family":"Grabelnych","given":"O. I."},{"family":"Kolesnichenko","given":"A. V."}],"issued":{"date-parts":[["2008",5,1]]}}}],"schema":"https://github.com/citation-style-language/schema/raw/master/csl-citation.json"}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w:t>
      </w:r>
      <w:proofErr w:type="spellStart"/>
      <w:r w:rsidR="00A92B32" w:rsidRPr="00A92B32">
        <w:rPr>
          <w:rFonts w:ascii="Times New Roman" w:hAnsi="Times New Roman" w:cs="Times New Roman"/>
          <w:sz w:val="24"/>
        </w:rPr>
        <w:t>Timofeyev</w:t>
      </w:r>
      <w:proofErr w:type="spellEnd"/>
      <w:r w:rsidR="00A92B32" w:rsidRPr="00A92B32">
        <w:rPr>
          <w:rFonts w:ascii="Times New Roman" w:hAnsi="Times New Roman" w:cs="Times New Roman"/>
          <w:sz w:val="24"/>
        </w:rPr>
        <w:t xml:space="preserve"> et al. 2008)</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extent to which a changing climate may result in altered hydrodynamics is uncertain, but potential exists for altered current and mixing patterns to warm water and transport solutes unexpectedly. Beyond Baikal, a changing climate creates potential for altered lake hydrodynamics globally. Changes in intra-lake transport may be consequential for understanding heterogeneity, suggesting need for intensive study of individual systems’ disturbances and ecological responses and extensive comparison of lakes between regions.  </w:t>
      </w: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22B5C0A7" w14:textId="77777777" w:rsidR="00BF09EC" w:rsidRDefault="00A92B32" w:rsidP="00BF09EC">
      <w:pPr>
        <w:pStyle w:val="Bibliography"/>
      </w:pPr>
      <w:r w:rsidRPr="00A92B32">
        <w:fldChar w:fldCharType="begin"/>
      </w:r>
      <w:r w:rsidRPr="00A92B32">
        <w:instrText xml:space="preserve"> ADDIN ZOTERO_BIBL {"uncited":[],"omitted":[],"custom":[]} CSL_BIBLIOGRAPHY </w:instrText>
      </w:r>
      <w:r w:rsidRPr="00A92B32">
        <w:fldChar w:fldCharType="separate"/>
      </w:r>
      <w:r w:rsidR="00BF09EC">
        <w:t xml:space="preserve">Anderson, M. J. 2001. A new method for non-parametric multivariate analysis of variance. Austral Ecology </w:t>
      </w:r>
      <w:r w:rsidR="00BF09EC">
        <w:rPr>
          <w:b/>
          <w:bCs/>
        </w:rPr>
        <w:t>26</w:t>
      </w:r>
      <w:r w:rsidR="00BF09EC">
        <w:t>: 32–46. doi:10.1111/j.1442-9993.</w:t>
      </w:r>
      <w:proofErr w:type="gramStart"/>
      <w:r w:rsidR="00BF09EC">
        <w:t>2001.01070.pp</w:t>
      </w:r>
      <w:proofErr w:type="gramEnd"/>
      <w:r w:rsidR="00BF09EC">
        <w:t>.x</w:t>
      </w:r>
    </w:p>
    <w:p w14:paraId="31AC7E44" w14:textId="77777777" w:rsidR="00BF09EC" w:rsidRDefault="00BF09EC" w:rsidP="00BF09EC">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4174C800" w14:textId="77777777" w:rsidR="00BF09EC" w:rsidRDefault="00BF09EC" w:rsidP="00BF09EC">
      <w:pPr>
        <w:pStyle w:val="Bibliography"/>
      </w:pPr>
      <w:proofErr w:type="spellStart"/>
      <w:r>
        <w:t>Anesi</w:t>
      </w:r>
      <w:proofErr w:type="spellEnd"/>
      <w:r>
        <w:t xml:space="preserve">, A., U. </w:t>
      </w:r>
      <w:proofErr w:type="spellStart"/>
      <w:r>
        <w:t>Obertegger</w:t>
      </w:r>
      <w:proofErr w:type="spellEnd"/>
      <w:r>
        <w:t xml:space="preserve">, G. Hansen, A. Sukenik, G. </w:t>
      </w:r>
      <w:proofErr w:type="spellStart"/>
      <w:r>
        <w:t>Flaim</w:t>
      </w:r>
      <w:proofErr w:type="spellEnd"/>
      <w:r>
        <w:t xml:space="preserve">, and G. </w:t>
      </w:r>
      <w:proofErr w:type="spellStart"/>
      <w:r>
        <w:t>Guella</w:t>
      </w:r>
      <w:proofErr w:type="spellEnd"/>
      <w:r>
        <w:t xml:space="preserve">. 2016. Comparative Analysis of Membrane Lipids in Psychrophilic and Mesophilic Freshwater Dinoflagellates. Front. Plant Sci. </w:t>
      </w:r>
      <w:r>
        <w:rPr>
          <w:b/>
          <w:bCs/>
        </w:rPr>
        <w:t>7</w:t>
      </w:r>
      <w:r>
        <w:t>. doi:10.3389/fpls.2016.00524</w:t>
      </w:r>
    </w:p>
    <w:p w14:paraId="382984E9" w14:textId="77777777" w:rsidR="00BF09EC" w:rsidRDefault="00BF09EC" w:rsidP="00BF09EC">
      <w:pPr>
        <w:pStyle w:val="Bibliography"/>
      </w:pPr>
      <w:r>
        <w:t xml:space="preserve">Araujo, L., N. Villa, N. Camargo, M. Bustos, T. García, and A. de J. Prieto. 2011. Persistence of gemfibrozil, naproxen and mefenamic acid in natural waters. Environ Chem Lett </w:t>
      </w:r>
      <w:r>
        <w:rPr>
          <w:b/>
          <w:bCs/>
        </w:rPr>
        <w:t>9</w:t>
      </w:r>
      <w:r>
        <w:t>: 13–18. doi:10.1007/s10311-009-0239-5</w:t>
      </w:r>
    </w:p>
    <w:p w14:paraId="2BDCC17A" w14:textId="77777777" w:rsidR="00BF09EC" w:rsidRDefault="00BF09EC" w:rsidP="00BF09EC">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4EF72F33" w14:textId="77777777" w:rsidR="00BF09EC" w:rsidRDefault="00BF09EC" w:rsidP="00BF09EC">
      <w:pPr>
        <w:pStyle w:val="Bibliography"/>
      </w:pPr>
      <w:proofErr w:type="spellStart"/>
      <w:r>
        <w:t>Bedulina</w:t>
      </w:r>
      <w:proofErr w:type="spellEnd"/>
      <w:r>
        <w:t xml:space="preserve">, D., M. F. Meyer, A. </w:t>
      </w:r>
      <w:proofErr w:type="spellStart"/>
      <w:r>
        <w:t>Gurkov</w:t>
      </w:r>
      <w:proofErr w:type="spellEnd"/>
      <w:r>
        <w:t xml:space="preserve">, E. </w:t>
      </w:r>
      <w:proofErr w:type="spellStart"/>
      <w:r>
        <w:t>Kondratjeva</w:t>
      </w:r>
      <w:proofErr w:type="spellEnd"/>
      <w:r>
        <w:t xml:space="preserve">, B. </w:t>
      </w:r>
      <w:proofErr w:type="spellStart"/>
      <w:r>
        <w:t>Baduev</w:t>
      </w:r>
      <w:proofErr w:type="spellEnd"/>
      <w:r>
        <w:t xml:space="preserve">, R. </w:t>
      </w:r>
      <w:proofErr w:type="spellStart"/>
      <w:r>
        <w:t>Gusdorf</w:t>
      </w:r>
      <w:proofErr w:type="spellEnd"/>
      <w:r>
        <w:t xml:space="preserve">, and M. A. </w:t>
      </w:r>
      <w:proofErr w:type="spellStart"/>
      <w:r>
        <w:t>Timofeyev</w:t>
      </w:r>
      <w:proofErr w:type="spellEnd"/>
      <w:r>
        <w:t xml:space="preserve">. 2017. Intersexual differences of heat shock response between two amphipods </w:t>
      </w:r>
      <w:proofErr w:type="gramStart"/>
      <w:r>
        <w:t xml:space="preserve">( </w:t>
      </w:r>
      <w:proofErr w:type="spellStart"/>
      <w:r>
        <w:rPr>
          <w:i/>
          <w:iCs/>
        </w:rPr>
        <w:t>Eulimnogammarus</w:t>
      </w:r>
      <w:proofErr w:type="spellEnd"/>
      <w:proofErr w:type="gramEnd"/>
      <w:r>
        <w:rPr>
          <w:i/>
          <w:iCs/>
        </w:rPr>
        <w:t xml:space="preserve"> </w:t>
      </w:r>
      <w:proofErr w:type="spellStart"/>
      <w:r>
        <w:rPr>
          <w:i/>
          <w:iCs/>
        </w:rPr>
        <w:t>verrucosus</w:t>
      </w:r>
      <w:proofErr w:type="spellEnd"/>
      <w:r>
        <w:t xml:space="preserve"> and </w:t>
      </w:r>
      <w:proofErr w:type="spellStart"/>
      <w:r>
        <w:rPr>
          <w:i/>
          <w:iCs/>
        </w:rPr>
        <w:t>Eulimnogammarus</w:t>
      </w:r>
      <w:proofErr w:type="spellEnd"/>
      <w:r>
        <w:rPr>
          <w:i/>
          <w:iCs/>
        </w:rPr>
        <w:t xml:space="preserve"> </w:t>
      </w:r>
      <w:proofErr w:type="spellStart"/>
      <w:r>
        <w:rPr>
          <w:i/>
          <w:iCs/>
        </w:rPr>
        <w:t>cyaneus</w:t>
      </w:r>
      <w:proofErr w:type="spellEnd"/>
      <w:r>
        <w:t xml:space="preserve"> ) in Lake Baikal. </w:t>
      </w:r>
      <w:proofErr w:type="spellStart"/>
      <w:r>
        <w:t>PeerJ</w:t>
      </w:r>
      <w:proofErr w:type="spellEnd"/>
      <w:r>
        <w:t xml:space="preserve"> </w:t>
      </w:r>
      <w:r>
        <w:rPr>
          <w:b/>
          <w:bCs/>
        </w:rPr>
        <w:t>5</w:t>
      </w:r>
      <w:r>
        <w:t>: e2864. doi:10.7717/peerj.2864</w:t>
      </w:r>
    </w:p>
    <w:p w14:paraId="7BDA951C" w14:textId="77777777" w:rsidR="00BF09EC" w:rsidRDefault="00BF09EC" w:rsidP="00BF09EC">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0B974E5C" w14:textId="77777777" w:rsidR="00BF09EC" w:rsidRDefault="00BF09EC" w:rsidP="00BF09EC">
      <w:pPr>
        <w:pStyle w:val="Bibliography"/>
      </w:pPr>
      <w:proofErr w:type="spellStart"/>
      <w:r>
        <w:lastRenderedPageBreak/>
        <w:t>Benotti</w:t>
      </w:r>
      <w:proofErr w:type="spellEnd"/>
      <w:r>
        <w:t xml:space="preserve">, M. J., and B. J. </w:t>
      </w:r>
      <w:proofErr w:type="spellStart"/>
      <w:r>
        <w:t>Brownawell</w:t>
      </w:r>
      <w:proofErr w:type="spellEnd"/>
      <w:r>
        <w:t xml:space="preserve">. 2009. Microbial degradation of pharmaceuticals in estuarine and coastal seawater. Environmental Pollution </w:t>
      </w:r>
      <w:r>
        <w:rPr>
          <w:b/>
          <w:bCs/>
        </w:rPr>
        <w:t>157</w:t>
      </w:r>
      <w:r>
        <w:t xml:space="preserve">: 994–1002. </w:t>
      </w:r>
      <w:proofErr w:type="gramStart"/>
      <w:r>
        <w:t>doi:10.1016/j.envpol</w:t>
      </w:r>
      <w:proofErr w:type="gramEnd"/>
      <w:r>
        <w:t>.2008.10.009</w:t>
      </w:r>
    </w:p>
    <w:p w14:paraId="46A5C436" w14:textId="77777777" w:rsidR="00BF09EC" w:rsidRDefault="00BF09EC" w:rsidP="00BF09EC">
      <w:pPr>
        <w:pStyle w:val="Bibliography"/>
      </w:pPr>
      <w:proofErr w:type="spellStart"/>
      <w:r>
        <w:t>Boecklen</w:t>
      </w:r>
      <w:proofErr w:type="spellEnd"/>
      <w:r>
        <w:t xml:space="preserve">, W. J., C. T. </w:t>
      </w:r>
      <w:proofErr w:type="spellStart"/>
      <w:r>
        <w:t>Yarnes</w:t>
      </w:r>
      <w:proofErr w:type="spellEnd"/>
      <w:r>
        <w:t>, B. A. Cook, and A. C. James. 2011. On the Use of Stable Isotopes in Trophic Ecology.</w:t>
      </w:r>
    </w:p>
    <w:p w14:paraId="60652C93" w14:textId="77777777" w:rsidR="00BF09EC" w:rsidRDefault="00BF09EC" w:rsidP="00BF09EC">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246BDEE4" w14:textId="77777777" w:rsidR="00BF09EC" w:rsidRDefault="00BF09EC" w:rsidP="00BF09EC">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5952A259" w14:textId="77777777" w:rsidR="00BF09EC" w:rsidRDefault="00BF09EC" w:rsidP="00BF09EC">
      <w:pPr>
        <w:pStyle w:val="Bibliography"/>
      </w:pPr>
      <w:r>
        <w:t xml:space="preserve">Carpenter, S. R., J. J. Cole, M. L. Pace, and others. 2005. Ecosystem Subsidies: Terrestrial Support of Aquatic Food Webs from 13c Addition to Contrasting Lakes. Ecology </w:t>
      </w:r>
      <w:r>
        <w:rPr>
          <w:b/>
          <w:bCs/>
        </w:rPr>
        <w:t>86</w:t>
      </w:r>
      <w:r>
        <w:t>: 2737–2750. doi:10.1890/04-1282</w:t>
      </w:r>
    </w:p>
    <w:p w14:paraId="522B2226" w14:textId="77777777" w:rsidR="00BF09EC" w:rsidRDefault="00BF09EC" w:rsidP="00BF09EC">
      <w:pPr>
        <w:pStyle w:val="Bibliography"/>
      </w:pPr>
      <w:r>
        <w:t xml:space="preserve">Carpenter, S., B. Walker, J. M. </w:t>
      </w:r>
      <w:proofErr w:type="spellStart"/>
      <w:r>
        <w:t>Anderies</w:t>
      </w:r>
      <w:proofErr w:type="spellEnd"/>
      <w:r>
        <w:t xml:space="preserve">, and N. Abel. 2001. From Metaphor to Measurement: Resilience of What to What? Ecosystems </w:t>
      </w:r>
      <w:r>
        <w:rPr>
          <w:b/>
          <w:bCs/>
        </w:rPr>
        <w:t>4</w:t>
      </w:r>
      <w:r>
        <w:t>: 765–781. doi:10.1007/s10021-001-0045-9</w:t>
      </w:r>
    </w:p>
    <w:p w14:paraId="5BC9E245" w14:textId="77777777" w:rsidR="00BF09EC" w:rsidRDefault="00BF09EC" w:rsidP="00BF09EC">
      <w:pPr>
        <w:pStyle w:val="Bibliography"/>
      </w:pPr>
      <w:r>
        <w:t xml:space="preserve">Crouse, D. T., L. B. Crowder, and H. Caswell. 1987. A Stage-Based Population Model for Loggerhead Sea Turtles and Implications for Conservation. Ecology </w:t>
      </w:r>
      <w:r>
        <w:rPr>
          <w:b/>
          <w:bCs/>
        </w:rPr>
        <w:t>68</w:t>
      </w:r>
      <w:r>
        <w:t>: 1412–1423. doi:10.2307/1939225</w:t>
      </w:r>
    </w:p>
    <w:p w14:paraId="6AFA626E" w14:textId="77777777" w:rsidR="00BF09EC" w:rsidRDefault="00BF09EC" w:rsidP="00BF09EC">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229F0F59" w14:textId="77777777" w:rsidR="00BF09EC" w:rsidRDefault="00BF09EC" w:rsidP="00BF09EC">
      <w:pPr>
        <w:pStyle w:val="Bibliography"/>
      </w:pPr>
      <w:r>
        <w:t xml:space="preserve">Ellis, B. K., J. A. Stanford, D. Goodman, and others. 2011. Long-term effects of a trophic cascade in a large lake ecosystem. Proceedings of the National Academy of Sciences </w:t>
      </w:r>
      <w:r>
        <w:rPr>
          <w:b/>
          <w:bCs/>
        </w:rPr>
        <w:t>108</w:t>
      </w:r>
      <w:r>
        <w:t>: 1070–1075. doi:10.1073/pnas.1013006108</w:t>
      </w:r>
    </w:p>
    <w:p w14:paraId="4B1C86B3" w14:textId="77777777" w:rsidR="00BF09EC" w:rsidRDefault="00BF09EC" w:rsidP="00BF09EC">
      <w:pPr>
        <w:pStyle w:val="Bibliography"/>
      </w:pPr>
      <w:proofErr w:type="spellStart"/>
      <w:r>
        <w:lastRenderedPageBreak/>
        <w:t>Flaim</w:t>
      </w:r>
      <w:proofErr w:type="spellEnd"/>
      <w:r>
        <w:t xml:space="preserve">, G., U. </w:t>
      </w:r>
      <w:proofErr w:type="spellStart"/>
      <w:r>
        <w:t>Obertegger</w:t>
      </w:r>
      <w:proofErr w:type="spellEnd"/>
      <w:r>
        <w:t xml:space="preserve">, A. </w:t>
      </w:r>
      <w:proofErr w:type="spellStart"/>
      <w:r>
        <w:t>Anesi</w:t>
      </w:r>
      <w:proofErr w:type="spellEnd"/>
      <w:r>
        <w:t xml:space="preserve">, and G. </w:t>
      </w:r>
      <w:proofErr w:type="spellStart"/>
      <w:r>
        <w:t>Guella</w:t>
      </w:r>
      <w:proofErr w:type="spellEnd"/>
      <w:r>
        <w:t xml:space="preserve">. 2014. Temperature-induced changes in lipid biomarkers and </w:t>
      </w:r>
      <w:proofErr w:type="spellStart"/>
      <w:r>
        <w:t>mycosporine</w:t>
      </w:r>
      <w:proofErr w:type="spellEnd"/>
      <w:r>
        <w:t xml:space="preserve">-like amino acids in the psychrophilic dinoflagellate </w:t>
      </w:r>
      <w:proofErr w:type="spellStart"/>
      <w:r>
        <w:rPr>
          <w:i/>
          <w:iCs/>
        </w:rPr>
        <w:t>Peridinium</w:t>
      </w:r>
      <w:proofErr w:type="spellEnd"/>
      <w:r>
        <w:rPr>
          <w:i/>
          <w:iCs/>
        </w:rPr>
        <w:t xml:space="preserve"> </w:t>
      </w:r>
      <w:proofErr w:type="spellStart"/>
      <w:r>
        <w:rPr>
          <w:i/>
          <w:iCs/>
        </w:rPr>
        <w:t>aciculiferum</w:t>
      </w:r>
      <w:proofErr w:type="spellEnd"/>
      <w:r>
        <w:t xml:space="preserve">. </w:t>
      </w:r>
      <w:proofErr w:type="spellStart"/>
      <w:r>
        <w:t>Freshw</w:t>
      </w:r>
      <w:proofErr w:type="spellEnd"/>
      <w:r>
        <w:t xml:space="preserve"> Biol </w:t>
      </w:r>
      <w:r>
        <w:rPr>
          <w:b/>
          <w:bCs/>
        </w:rPr>
        <w:t>59</w:t>
      </w:r>
      <w:r>
        <w:t>: 985–997. doi:10.1111/fwb.12321</w:t>
      </w:r>
    </w:p>
    <w:p w14:paraId="206851CD" w14:textId="77777777" w:rsidR="00BF09EC" w:rsidRDefault="00BF09EC" w:rsidP="00BF09EC">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p>
    <w:p w14:paraId="5D16F7F8" w14:textId="77777777" w:rsidR="00BF09EC" w:rsidRDefault="00BF09EC" w:rsidP="00BF09EC">
      <w:pPr>
        <w:pStyle w:val="Bibliography"/>
      </w:pPr>
      <w:r>
        <w:t xml:space="preserve">Franklin, J. F., D. </w:t>
      </w:r>
      <w:proofErr w:type="spellStart"/>
      <w:r>
        <w:t>Lindenmayer</w:t>
      </w:r>
      <w:proofErr w:type="spellEnd"/>
      <w:r>
        <w:t xml:space="preserve">, J. A. </w:t>
      </w:r>
      <w:proofErr w:type="spellStart"/>
      <w:r>
        <w:t>MacMahon</w:t>
      </w:r>
      <w:proofErr w:type="spellEnd"/>
      <w:r>
        <w:t xml:space="preserve">, A. McKee, J. Magnuson, D. A. Perry, R. </w:t>
      </w:r>
      <w:proofErr w:type="spellStart"/>
      <w:r>
        <w:t>Waide</w:t>
      </w:r>
      <w:proofErr w:type="spellEnd"/>
      <w:r>
        <w:t xml:space="preserve">, and D. Foster. 2000. Threads of continuity. Conservation in Practice </w:t>
      </w:r>
      <w:r>
        <w:rPr>
          <w:b/>
          <w:bCs/>
        </w:rPr>
        <w:t>1</w:t>
      </w:r>
      <w:r>
        <w:t>: 8–17.</w:t>
      </w:r>
    </w:p>
    <w:p w14:paraId="5533BE68" w14:textId="77777777" w:rsidR="00BF09EC" w:rsidRDefault="00BF09EC" w:rsidP="00BF09EC">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3D1C8967" w14:textId="77777777" w:rsidR="00BF09EC" w:rsidRDefault="00BF09EC" w:rsidP="00BF09EC">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0AD0044C" w14:textId="77777777" w:rsidR="00BF09EC" w:rsidRDefault="00BF09EC" w:rsidP="00BF09EC">
      <w:pPr>
        <w:pStyle w:val="Bibliography"/>
      </w:pPr>
      <w:r>
        <w:t xml:space="preserve">Ginn, T. R., F. J. Loge, and T. D. </w:t>
      </w:r>
      <w:proofErr w:type="spellStart"/>
      <w:r>
        <w:t>Scheibe</w:t>
      </w:r>
      <w:proofErr w:type="spellEnd"/>
      <w:r>
        <w:t xml:space="preserve">. 2007. Explaining" Noise" as Environmental Variations in Population Dynamics. Computing in Science &amp; Engineering </w:t>
      </w:r>
      <w:r>
        <w:rPr>
          <w:b/>
          <w:bCs/>
        </w:rPr>
        <w:t>9</w:t>
      </w:r>
      <w:r>
        <w:t>: 40–49.</w:t>
      </w:r>
    </w:p>
    <w:p w14:paraId="69417CD9" w14:textId="77777777" w:rsidR="00BF09EC" w:rsidRDefault="00BF09EC" w:rsidP="00BF09EC">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105F753D" w14:textId="77777777" w:rsidR="00BF09EC" w:rsidRDefault="00BF09EC" w:rsidP="00BF09EC">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392167EC" w14:textId="77777777" w:rsidR="00BF09EC" w:rsidRDefault="00BF09EC" w:rsidP="00BF09EC">
      <w:pPr>
        <w:pStyle w:val="Bibliography"/>
      </w:pPr>
      <w:r>
        <w:lastRenderedPageBreak/>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519C9C81" w14:textId="77777777" w:rsidR="00BF09EC" w:rsidRDefault="00BF09EC" w:rsidP="00BF09EC">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002CDD8E" w14:textId="77777777" w:rsidR="00BF09EC" w:rsidRDefault="00BF09EC" w:rsidP="00BF09EC">
      <w:pPr>
        <w:pStyle w:val="Bibliography"/>
      </w:pPr>
      <w:r>
        <w:t xml:space="preserve">Harper, K. A., S. E. McDonald, P. J. Burton, and others. 2005. Edge Influence on Forest Structure and Composition in Fragmented Landscapes. Conservation Biology </w:t>
      </w:r>
      <w:r>
        <w:rPr>
          <w:b/>
          <w:bCs/>
        </w:rPr>
        <w:t>19</w:t>
      </w:r>
      <w:r>
        <w:t>: 768–782.</w:t>
      </w:r>
    </w:p>
    <w:p w14:paraId="543C3826" w14:textId="77777777" w:rsidR="00BF09EC" w:rsidRDefault="00BF09EC" w:rsidP="00BF09EC">
      <w:pPr>
        <w:pStyle w:val="Bibliography"/>
      </w:pPr>
      <w:r>
        <w:t xml:space="preserve">Hollingsworth, R. G., J. W. Armstrong, and E. Campbell. 2002. Caffeine as a repellent for slugs and snails. Nature </w:t>
      </w:r>
      <w:r>
        <w:rPr>
          <w:b/>
          <w:bCs/>
        </w:rPr>
        <w:t>417</w:t>
      </w:r>
      <w:r>
        <w:t>: 915–916. doi:10.1038/417915a</w:t>
      </w:r>
    </w:p>
    <w:p w14:paraId="2542E00D" w14:textId="77777777" w:rsidR="00BF09EC" w:rsidRDefault="00BF09EC" w:rsidP="00BF09EC">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119A1736" w14:textId="77777777" w:rsidR="00BF09EC" w:rsidRDefault="00BF09EC" w:rsidP="00BF09EC">
      <w:pPr>
        <w:pStyle w:val="Bibliography"/>
      </w:pPr>
      <w:r>
        <w:t xml:space="preserve">Jakob, L., D. V. </w:t>
      </w:r>
      <w:proofErr w:type="spellStart"/>
      <w:r>
        <w:t>Axenov-Gribanov</w:t>
      </w:r>
      <w:proofErr w:type="spellEnd"/>
      <w:r>
        <w:t xml:space="preserve">, A. N. </w:t>
      </w:r>
      <w:proofErr w:type="spellStart"/>
      <w:r>
        <w:t>Gurkov</w:t>
      </w:r>
      <w:proofErr w:type="spellEnd"/>
      <w:r>
        <w:t xml:space="preserve">, and others. 2016. Lake Baikal amphipods under climate change: thermal constraints and ecological consequences J. Benstead [ed.]. Ecosphere </w:t>
      </w:r>
      <w:r>
        <w:rPr>
          <w:b/>
          <w:bCs/>
        </w:rPr>
        <w:t>7</w:t>
      </w:r>
      <w:r>
        <w:t>. doi:10.1002/ecs2.1308</w:t>
      </w:r>
    </w:p>
    <w:p w14:paraId="5F7926D7" w14:textId="77777777" w:rsidR="00BF09EC" w:rsidRDefault="00BF09EC" w:rsidP="00BF09EC">
      <w:pPr>
        <w:pStyle w:val="Bibliography"/>
      </w:pPr>
      <w:r>
        <w:t>Johnson, R. A., and D. V. Wichern. 2007. Applied Multivariate Statistical Analysis, 6th ed. Prentice Hall.</w:t>
      </w:r>
    </w:p>
    <w:p w14:paraId="45D3F719" w14:textId="77777777" w:rsidR="00BF09EC" w:rsidRDefault="00BF09EC" w:rsidP="00BF09EC">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6FBB509F" w14:textId="77777777" w:rsidR="00BF09EC" w:rsidRDefault="00BF09EC" w:rsidP="00BF09EC">
      <w:pPr>
        <w:pStyle w:val="Bibliography"/>
      </w:pPr>
      <w:r>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0010DC1A" w14:textId="77777777" w:rsidR="00BF09EC" w:rsidRDefault="00BF09EC" w:rsidP="00BF09EC">
      <w:pPr>
        <w:pStyle w:val="Bibliography"/>
      </w:pPr>
      <w:proofErr w:type="spellStart"/>
      <w:r>
        <w:t>Koelmans</w:t>
      </w:r>
      <w:proofErr w:type="spellEnd"/>
      <w:r>
        <w:t xml:space="preserve">, A. A., N. H. Mohamed Nor, E. </w:t>
      </w:r>
      <w:proofErr w:type="spellStart"/>
      <w:r>
        <w:t>Hermsen</w:t>
      </w:r>
      <w:proofErr w:type="spellEnd"/>
      <w:r>
        <w:t xml:space="preserve">, M. </w:t>
      </w:r>
      <w:proofErr w:type="spellStart"/>
      <w:r>
        <w:t>Kooi</w:t>
      </w:r>
      <w:proofErr w:type="spellEnd"/>
      <w:r>
        <w:t xml:space="preserve">, S. M. </w:t>
      </w:r>
      <w:proofErr w:type="spellStart"/>
      <w:r>
        <w:t>Mintenig</w:t>
      </w:r>
      <w:proofErr w:type="spellEnd"/>
      <w:r>
        <w:t xml:space="preserve">, and J. De France. 2019. Microplastics in freshwaters and drinking water: Critical review and assessment of data quality. Water Research </w:t>
      </w:r>
      <w:r>
        <w:rPr>
          <w:b/>
          <w:bCs/>
        </w:rPr>
        <w:t>155</w:t>
      </w:r>
      <w:r>
        <w:t xml:space="preserve">: 410–422. </w:t>
      </w:r>
      <w:proofErr w:type="gramStart"/>
      <w:r>
        <w:t>doi:10.1016/j.watres</w:t>
      </w:r>
      <w:proofErr w:type="gramEnd"/>
      <w:r>
        <w:t>.2019.02.054</w:t>
      </w:r>
    </w:p>
    <w:p w14:paraId="21D87A22" w14:textId="77777777" w:rsidR="00BF09EC" w:rsidRDefault="00BF09EC" w:rsidP="00BF09EC">
      <w:pPr>
        <w:pStyle w:val="Bibliography"/>
      </w:pPr>
      <w:proofErr w:type="spellStart"/>
      <w:r>
        <w:lastRenderedPageBreak/>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08D23609" w14:textId="77777777" w:rsidR="00BF09EC" w:rsidRDefault="00BF09EC" w:rsidP="00BF09EC">
      <w:pPr>
        <w:pStyle w:val="Bibliography"/>
      </w:pPr>
      <w:proofErr w:type="spellStart"/>
      <w:r>
        <w:t>Kozhov</w:t>
      </w:r>
      <w:proofErr w:type="spellEnd"/>
      <w:r>
        <w:t>, M. M. 1963. Lake Baikal and its Life, Springer Science &amp; Business Media.</w:t>
      </w:r>
    </w:p>
    <w:p w14:paraId="036FA38E" w14:textId="77777777" w:rsidR="00BF09EC" w:rsidRDefault="00BF09EC" w:rsidP="00BF09EC">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6CE23F79" w14:textId="77777777" w:rsidR="00BF09EC" w:rsidRDefault="00BF09EC" w:rsidP="00BF09EC">
      <w:pPr>
        <w:pStyle w:val="Bibliography"/>
      </w:pPr>
      <w:r>
        <w:t xml:space="preserve">Lake, P. S. 2000. Disturbance, patchiness, and diversity in streams. Journal of the north </w:t>
      </w:r>
      <w:proofErr w:type="spellStart"/>
      <w:r>
        <w:t>american</w:t>
      </w:r>
      <w:proofErr w:type="spellEnd"/>
      <w:r>
        <w:t xml:space="preserve"> </w:t>
      </w:r>
      <w:proofErr w:type="spellStart"/>
      <w:r>
        <w:t>Benthological</w:t>
      </w:r>
      <w:proofErr w:type="spellEnd"/>
      <w:r>
        <w:t xml:space="preserve"> society </w:t>
      </w:r>
      <w:r>
        <w:rPr>
          <w:b/>
          <w:bCs/>
        </w:rPr>
        <w:t>19</w:t>
      </w:r>
      <w:r>
        <w:t>: 573–592.</w:t>
      </w:r>
    </w:p>
    <w:p w14:paraId="3EA9EA56" w14:textId="77777777" w:rsidR="00BF09EC" w:rsidRDefault="00BF09EC" w:rsidP="00BF09EC">
      <w:pPr>
        <w:pStyle w:val="Bibliography"/>
      </w:pPr>
      <w:r>
        <w:t xml:space="preserve">Layman, C. A., M. S. Araujo, R. </w:t>
      </w:r>
      <w:proofErr w:type="spellStart"/>
      <w:r>
        <w:t>Boucek</w:t>
      </w:r>
      <w:proofErr w:type="spellEnd"/>
      <w:r>
        <w:t xml:space="preserve">, and others. 2012. Applying stable isotopes to examine food-web structure: an overview of analytical tools. Biological Reviews </w:t>
      </w:r>
      <w:r>
        <w:rPr>
          <w:b/>
          <w:bCs/>
        </w:rPr>
        <w:t>87</w:t>
      </w:r>
      <w:r>
        <w:t>: 545–562. doi:10.1111/j.1469-185X.</w:t>
      </w:r>
      <w:proofErr w:type="gramStart"/>
      <w:r>
        <w:t>2011.00208.x</w:t>
      </w:r>
      <w:proofErr w:type="gramEnd"/>
    </w:p>
    <w:p w14:paraId="178FB5F1" w14:textId="77777777" w:rsidR="00BF09EC" w:rsidRDefault="00BF09EC" w:rsidP="00BF09EC">
      <w:pPr>
        <w:pStyle w:val="Bibliography"/>
      </w:pPr>
      <w:r>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7F43AA13" w14:textId="77777777" w:rsidR="00BF09EC" w:rsidRDefault="00BF09EC" w:rsidP="00BF09EC">
      <w:pPr>
        <w:pStyle w:val="Bibliography"/>
      </w:pPr>
      <w:proofErr w:type="spellStart"/>
      <w:r>
        <w:t>Longcore</w:t>
      </w:r>
      <w:proofErr w:type="spellEnd"/>
      <w:r>
        <w:t xml:space="preserve">, T., and C. Rich. 2004. Ecological Light Pollution. Frontiers in Ecology and the Environment </w:t>
      </w:r>
      <w:r>
        <w:rPr>
          <w:b/>
          <w:bCs/>
        </w:rPr>
        <w:t>2</w:t>
      </w:r>
      <w:r>
        <w:t>: 191. doi:10.2307/3868314</w:t>
      </w:r>
    </w:p>
    <w:p w14:paraId="61E09EB3" w14:textId="77777777" w:rsidR="00BF09EC" w:rsidRDefault="00BF09EC" w:rsidP="00BF09EC">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0135265A" w14:textId="77777777" w:rsidR="00BF09EC" w:rsidRDefault="00BF09EC" w:rsidP="00BF09EC">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6F0CFEB1" w14:textId="77777777" w:rsidR="00BF09EC" w:rsidRDefault="00BF09EC" w:rsidP="00BF09EC">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6093CEC0" w14:textId="77777777" w:rsidR="00BF09EC" w:rsidRDefault="00BF09EC" w:rsidP="00BF09EC">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xml:space="preserve">: 12961–12973. </w:t>
      </w:r>
      <w:proofErr w:type="gramStart"/>
      <w:r>
        <w:t>doi:10.1021/acs.est</w:t>
      </w:r>
      <w:proofErr w:type="gramEnd"/>
      <w:r>
        <w:t>.9b02966</w:t>
      </w:r>
    </w:p>
    <w:p w14:paraId="216F8A45" w14:textId="77777777" w:rsidR="00BF09EC" w:rsidRDefault="00BF09EC" w:rsidP="00BF09EC">
      <w:pPr>
        <w:pStyle w:val="Bibliography"/>
      </w:pPr>
      <w:r>
        <w:t>Ministry of Natural Resources and Ecology of the Russian Federation. 2014. On the State of Lake Baikal and Measures for Its Protection in 2013: Government Report.</w:t>
      </w:r>
    </w:p>
    <w:p w14:paraId="4F184FD5" w14:textId="77777777" w:rsidR="00BF09EC" w:rsidRDefault="00BF09EC" w:rsidP="00BF09EC">
      <w:pPr>
        <w:pStyle w:val="Bibliography"/>
      </w:pPr>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72BB8541" w14:textId="77777777" w:rsidR="00BF09EC" w:rsidRDefault="00BF09EC" w:rsidP="00BF09EC">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1EF3F784" w14:textId="77777777" w:rsidR="00BF09EC" w:rsidRDefault="00BF09EC" w:rsidP="00BF09EC">
      <w:pPr>
        <w:pStyle w:val="Bibliography"/>
      </w:pPr>
      <w:r>
        <w:t xml:space="preserve">Nichols, D. S., P. D. Nichols, and T. A. McMeekin. 1993. Polyunsaturated fatty acids in Antarctic bacteria. </w:t>
      </w:r>
      <w:proofErr w:type="spellStart"/>
      <w:r>
        <w:t>Antartic</w:t>
      </w:r>
      <w:proofErr w:type="spellEnd"/>
      <w:r>
        <w:t xml:space="preserve"> science </w:t>
      </w:r>
      <w:r>
        <w:rPr>
          <w:b/>
          <w:bCs/>
        </w:rPr>
        <w:t>5</w:t>
      </w:r>
      <w:r>
        <w:t>: 149–160. doi:10.1017/S0954102093000215</w:t>
      </w:r>
    </w:p>
    <w:p w14:paraId="106B41D2" w14:textId="77777777" w:rsidR="00BF09EC" w:rsidRDefault="00BF09EC" w:rsidP="00BF09EC">
      <w:pPr>
        <w:pStyle w:val="Bibliography"/>
      </w:pPr>
      <w:r>
        <w:t xml:space="preserve">Oksanen, J., F. G. Blanchet, M. Friendly, and others. 2019. vegan: Community Ecology </w:t>
      </w:r>
      <w:proofErr w:type="gramStart"/>
      <w:r>
        <w:t>Package,.</w:t>
      </w:r>
      <w:proofErr w:type="gramEnd"/>
    </w:p>
    <w:p w14:paraId="7DC8D7F9" w14:textId="77777777" w:rsidR="00BF09EC" w:rsidRDefault="00BF09EC" w:rsidP="00BF09EC">
      <w:pPr>
        <w:pStyle w:val="Bibliography"/>
      </w:pPr>
      <w:r>
        <w:t xml:space="preserve">O’Reilly, C. M., S. Sharma, D. K. Gray, and others. 2015. Rapid and highly variable warming of lake surface waters around the globe: GLOBAL LAKE SURFACE WARMING. Geophysical Research Letters </w:t>
      </w:r>
      <w:r>
        <w:rPr>
          <w:b/>
          <w:bCs/>
        </w:rPr>
        <w:t>42</w:t>
      </w:r>
      <w:r>
        <w:t>: 10,773-10,781. doi:10.1002/2015GL066235</w:t>
      </w:r>
    </w:p>
    <w:p w14:paraId="1D125EA0" w14:textId="77777777" w:rsidR="00BF09EC" w:rsidRDefault="00BF09EC" w:rsidP="00BF09EC">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64C4DAA4" w14:textId="77777777" w:rsidR="00BF09EC" w:rsidRDefault="00BF09EC" w:rsidP="00BF09EC">
      <w:pPr>
        <w:pStyle w:val="Bibliography"/>
      </w:pPr>
      <w:r>
        <w:t xml:space="preserve">Post, D. M. 2002. Using Stable Isotopes to Estimate Trophic Position: Models, Methods, and Assumptions. Ecology </w:t>
      </w:r>
      <w:r>
        <w:rPr>
          <w:b/>
          <w:bCs/>
        </w:rPr>
        <w:t>83</w:t>
      </w:r>
      <w:r>
        <w:t>: 703–718. doi:10.1890/0012-9658(2002)083[</w:t>
      </w:r>
      <w:proofErr w:type="gramStart"/>
      <w:r>
        <w:t>0703:USITET</w:t>
      </w:r>
      <w:proofErr w:type="gramEnd"/>
      <w:r>
        <w:t>]2.0.CO;2</w:t>
      </w:r>
    </w:p>
    <w:p w14:paraId="6F04C075" w14:textId="77777777" w:rsidR="00BF09EC" w:rsidRDefault="00BF09EC" w:rsidP="00BF09EC">
      <w:pPr>
        <w:pStyle w:val="Bibliography"/>
      </w:pPr>
      <w:r>
        <w:lastRenderedPageBreak/>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24584483" w14:textId="77777777" w:rsidR="00BF09EC" w:rsidRDefault="00BF09EC" w:rsidP="00BF09EC">
      <w:pPr>
        <w:pStyle w:val="Bibliography"/>
      </w:pPr>
      <w:r>
        <w:t xml:space="preserve">R Core Team. 2019. R: A Language and Environment for Statistical </w:t>
      </w:r>
      <w:proofErr w:type="gramStart"/>
      <w:r>
        <w:t>Computing,.</w:t>
      </w:r>
      <w:proofErr w:type="gramEnd"/>
    </w:p>
    <w:p w14:paraId="694920BE" w14:textId="77777777" w:rsidR="00BF09EC" w:rsidRDefault="00BF09EC" w:rsidP="00BF09EC">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3579F9FB" w14:textId="77777777" w:rsidR="00BF09EC" w:rsidRDefault="00BF09EC" w:rsidP="00BF09EC">
      <w:pPr>
        <w:pStyle w:val="Bibliography"/>
      </w:pPr>
      <w:r>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2377EDAC" w14:textId="77777777" w:rsidR="00BF09EC" w:rsidRDefault="00BF09EC" w:rsidP="00BF09EC">
      <w:pPr>
        <w:pStyle w:val="Bibliography"/>
      </w:pPr>
      <w:proofErr w:type="spellStart"/>
      <w:r>
        <w:t>Rosi</w:t>
      </w:r>
      <w:proofErr w:type="spellEnd"/>
      <w:r>
        <w:t xml:space="preserve">, E. J., D. W. Kincaid, H. A. Bechtold, T. V. Royer, M. Rojas, and J. J. Kelly. 2013. Pharmaceuticals suppress algal growth and microbial respiration and alter bacterial communities in stream biofilms. Ecological Applications </w:t>
      </w:r>
      <w:r>
        <w:rPr>
          <w:b/>
          <w:bCs/>
        </w:rPr>
        <w:t>23</w:t>
      </w:r>
      <w:r>
        <w:t>: 583–593.</w:t>
      </w:r>
    </w:p>
    <w:p w14:paraId="4AE5B102" w14:textId="77777777" w:rsidR="00BF09EC" w:rsidRDefault="00BF09EC" w:rsidP="00BF09EC">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68C4652D" w14:textId="77777777" w:rsidR="00BF09EC" w:rsidRDefault="00BF09EC" w:rsidP="00BF09EC">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516A6C2D" w14:textId="77777777" w:rsidR="00BF09EC" w:rsidRDefault="00BF09EC" w:rsidP="00BF09EC">
      <w:pPr>
        <w:pStyle w:val="Bibliography"/>
      </w:pPr>
      <w:proofErr w:type="spellStart"/>
      <w:r>
        <w:t>Scheuerell</w:t>
      </w:r>
      <w:proofErr w:type="spellEnd"/>
      <w:r>
        <w:t xml:space="preserve">, M. D., and D. E. Schindler. 2004. Changes in the Spatial Distribution of Fishes in Lakes Along a Residential Development Gradient. Ecosystems </w:t>
      </w:r>
      <w:r>
        <w:rPr>
          <w:b/>
          <w:bCs/>
        </w:rPr>
        <w:t>7</w:t>
      </w:r>
      <w:r>
        <w:t>: 98–106. doi:10.1007/s10021-003-0214-0</w:t>
      </w:r>
    </w:p>
    <w:p w14:paraId="7AC4EBB6" w14:textId="77777777" w:rsidR="00BF09EC" w:rsidRDefault="00BF09EC" w:rsidP="00BF09EC">
      <w:pPr>
        <w:pStyle w:val="Bibliography"/>
      </w:pPr>
      <w:r>
        <w:t xml:space="preserve">Sharma, S., K. </w:t>
      </w:r>
      <w:proofErr w:type="spellStart"/>
      <w:r>
        <w:t>Blagrave</w:t>
      </w:r>
      <w:proofErr w:type="spellEnd"/>
      <w:r>
        <w:t xml:space="preserve">, J. J. Magnuson, and others. 2019. Widespread loss of lake ice around the Northern Hemisphere in a warming world. Nat. </w:t>
      </w:r>
      <w:proofErr w:type="spellStart"/>
      <w:r>
        <w:t>Clim</w:t>
      </w:r>
      <w:proofErr w:type="spellEnd"/>
      <w:r>
        <w:t xml:space="preserve">. Chang. </w:t>
      </w:r>
      <w:r>
        <w:rPr>
          <w:b/>
          <w:bCs/>
        </w:rPr>
        <w:t>9</w:t>
      </w:r>
      <w:r>
        <w:t>: 227–231. doi:10.1038/s41558-018-0393-5</w:t>
      </w:r>
    </w:p>
    <w:p w14:paraId="6F939E80" w14:textId="77777777" w:rsidR="00BF09EC" w:rsidRDefault="00BF09EC" w:rsidP="00BF09EC">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D34783C" w14:textId="77777777" w:rsidR="00BF09EC" w:rsidRDefault="00BF09EC" w:rsidP="00BF09EC">
      <w:pPr>
        <w:pStyle w:val="Bibliography"/>
      </w:pPr>
      <w:proofErr w:type="spellStart"/>
      <w:r>
        <w:t>Sokolova</w:t>
      </w:r>
      <w:proofErr w:type="spellEnd"/>
      <w:r>
        <w:t xml:space="preserve">, I., and G. </w:t>
      </w:r>
      <w:proofErr w:type="spellStart"/>
      <w:r>
        <w:t>Lannig</w:t>
      </w:r>
      <w:proofErr w:type="spellEnd"/>
      <w:r>
        <w:t xml:space="preserve">. 2008. Interactive effects of metal pollution and temperature on metabolism in aquatic ectotherms: implications of global climate change. Climate Research </w:t>
      </w:r>
      <w:r>
        <w:rPr>
          <w:b/>
          <w:bCs/>
        </w:rPr>
        <w:t>37</w:t>
      </w:r>
      <w:r>
        <w:t>: 181–201. doi:10.3354/cr00764</w:t>
      </w:r>
    </w:p>
    <w:p w14:paraId="30F54048" w14:textId="77777777" w:rsidR="00BF09EC" w:rsidRDefault="00BF09EC" w:rsidP="00BF09EC">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4BAFE39F" w14:textId="77777777" w:rsidR="00BF09EC" w:rsidRDefault="00BF09EC" w:rsidP="00BF09EC">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microalgae in 22 genera and in seven classes. Aquatic Microbial Ecology </w:t>
      </w:r>
      <w:r>
        <w:rPr>
          <w:b/>
          <w:bCs/>
        </w:rPr>
        <w:t>71</w:t>
      </w:r>
      <w:r>
        <w:t>: 165–178. doi:10.3354/ame01671</w:t>
      </w:r>
    </w:p>
    <w:p w14:paraId="35BC1FF5" w14:textId="77777777" w:rsidR="00BF09EC" w:rsidRDefault="00BF09EC" w:rsidP="00BF09EC">
      <w:pPr>
        <w:pStyle w:val="Bibliography"/>
      </w:pPr>
      <w:proofErr w:type="spellStart"/>
      <w:r>
        <w:t>Timofeyev</w:t>
      </w:r>
      <w:proofErr w:type="spellEnd"/>
      <w:r>
        <w:t xml:space="preserve">, M. A., Z. M. </w:t>
      </w:r>
      <w:proofErr w:type="spellStart"/>
      <w:r>
        <w:t>Shatilina</w:t>
      </w:r>
      <w:proofErr w:type="spellEnd"/>
      <w:r>
        <w:t xml:space="preserve">, D. S. </w:t>
      </w:r>
      <w:proofErr w:type="spellStart"/>
      <w:r>
        <w:t>Bedulina</w:t>
      </w:r>
      <w:proofErr w:type="spellEnd"/>
      <w:r>
        <w:t xml:space="preserve">, M. V. </w:t>
      </w:r>
      <w:proofErr w:type="spellStart"/>
      <w:r>
        <w:t>Protopopova</w:t>
      </w:r>
      <w:proofErr w:type="spellEnd"/>
      <w:r>
        <w:t xml:space="preserve">, V. V. </w:t>
      </w:r>
      <w:proofErr w:type="spellStart"/>
      <w:r>
        <w:t>Pavlichenko</w:t>
      </w:r>
      <w:proofErr w:type="spellEnd"/>
      <w:r>
        <w:t xml:space="preserve">, O. I. </w:t>
      </w:r>
      <w:proofErr w:type="spellStart"/>
      <w:r>
        <w:t>Grabelnych</w:t>
      </w:r>
      <w:proofErr w:type="spellEnd"/>
      <w:r>
        <w:t xml:space="preserve">, and A. V. </w:t>
      </w:r>
      <w:proofErr w:type="spellStart"/>
      <w:r>
        <w:t>Kolesnichenko</w:t>
      </w:r>
      <w:proofErr w:type="spellEnd"/>
      <w:r>
        <w:t xml:space="preserve">. 2008. Evaluation of biochemical responses in Palearctic and Lake Baikal endemic amphipod species exposed to CdCl2. Ecotoxicology and Environmental Safety </w:t>
      </w:r>
      <w:r>
        <w:rPr>
          <w:b/>
          <w:bCs/>
        </w:rPr>
        <w:t>70</w:t>
      </w:r>
      <w:r>
        <w:t xml:space="preserve">: 99–105. </w:t>
      </w:r>
      <w:proofErr w:type="gramStart"/>
      <w:r>
        <w:t>doi:10.1016/j.ecoenv</w:t>
      </w:r>
      <w:proofErr w:type="gramEnd"/>
      <w:r>
        <w:t>.2007.06.014</w:t>
      </w:r>
    </w:p>
    <w:p w14:paraId="0D22C1A4" w14:textId="77777777" w:rsidR="00BF09EC" w:rsidRDefault="00BF09EC" w:rsidP="00BF09EC">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096B5692" w14:textId="77777777" w:rsidR="00BF09EC" w:rsidRDefault="00BF09EC" w:rsidP="00BF09EC">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75E4D609" w14:textId="77777777" w:rsidR="00BF09EC" w:rsidRDefault="00BF09EC" w:rsidP="00BF09EC">
      <w:pPr>
        <w:pStyle w:val="Bibliography"/>
      </w:pPr>
      <w:r>
        <w:lastRenderedPageBreak/>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66F3FD8B" w14:textId="77777777" w:rsidR="00BF09EC" w:rsidRDefault="00BF09EC" w:rsidP="00BF09EC">
      <w:pPr>
        <w:pStyle w:val="Bibliography"/>
      </w:pPr>
      <w:proofErr w:type="spellStart"/>
      <w:r>
        <w:t>Vadeboncoeur</w:t>
      </w:r>
      <w:proofErr w:type="spellEnd"/>
      <w:r>
        <w:t xml:space="preserve">, Y., G. Peterson, M. J. Vander </w:t>
      </w:r>
      <w:proofErr w:type="spellStart"/>
      <w:r>
        <w:t>Zanden</w:t>
      </w:r>
      <w:proofErr w:type="spellEnd"/>
      <w:r>
        <w:t xml:space="preserve">, and J. </w:t>
      </w:r>
      <w:proofErr w:type="spellStart"/>
      <w:r>
        <w:t>Kalff</w:t>
      </w:r>
      <w:proofErr w:type="spellEnd"/>
      <w:r>
        <w:t xml:space="preserve">. 2008. Benthic algal production across lake size gradients: interactions among morphometry, nutrients, and light. Ecology </w:t>
      </w:r>
      <w:r>
        <w:rPr>
          <w:b/>
          <w:bCs/>
        </w:rPr>
        <w:t>89</w:t>
      </w:r>
      <w:r>
        <w:t>: 2542–2552.</w:t>
      </w:r>
    </w:p>
    <w:p w14:paraId="3952BB74" w14:textId="77777777" w:rsidR="00BF09EC" w:rsidRDefault="00BF09EC" w:rsidP="00BF09EC">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35EE1194" w14:textId="77777777" w:rsidR="00BF09EC" w:rsidRDefault="00BF09EC" w:rsidP="00BF09EC">
      <w:pPr>
        <w:pStyle w:val="Bibliography"/>
      </w:pPr>
      <w:r>
        <w:t xml:space="preserve">Wetzel, R. G. 2001. </w:t>
      </w:r>
      <w:proofErr w:type="gramStart"/>
      <w:r>
        <w:t>Limnology :</w:t>
      </w:r>
      <w:proofErr w:type="gramEnd"/>
      <w:r>
        <w:t xml:space="preserve"> lake and river ecosystems, 3rd ed. Academic Press.</w:t>
      </w:r>
    </w:p>
    <w:p w14:paraId="09253CB3" w14:textId="77777777" w:rsidR="00BF09EC" w:rsidRDefault="00BF09EC" w:rsidP="00BF09EC">
      <w:pPr>
        <w:pStyle w:val="Bibliography"/>
      </w:pPr>
      <w:r>
        <w:t>Wickham, H. 2016. ggplot2: Elegant Graphics for Data Analysis, Springer-Verlag.</w:t>
      </w:r>
    </w:p>
    <w:p w14:paraId="74966203" w14:textId="77777777" w:rsidR="00BF09EC" w:rsidRDefault="00BF09EC" w:rsidP="00BF09EC">
      <w:pPr>
        <w:pStyle w:val="Bibliography"/>
      </w:pPr>
      <w:r>
        <w:t xml:space="preserve">Wickham, H., R. Francois, L. Henry, and K. Mueller. 2019. </w:t>
      </w:r>
      <w:proofErr w:type="spellStart"/>
      <w:r>
        <w:t>dplyr</w:t>
      </w:r>
      <w:proofErr w:type="spellEnd"/>
      <w:r>
        <w:t xml:space="preserve">: A Grammar of Data </w:t>
      </w:r>
      <w:proofErr w:type="gramStart"/>
      <w:r>
        <w:t>Manipulation,.</w:t>
      </w:r>
      <w:proofErr w:type="gramEnd"/>
    </w:p>
    <w:p w14:paraId="483AF5C4" w14:textId="77777777" w:rsidR="00BF09EC" w:rsidRDefault="00BF09EC" w:rsidP="00BF09EC">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18F3309B" w14:textId="77777777" w:rsidR="00BF09EC" w:rsidRDefault="00BF09EC" w:rsidP="00BF09EC">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449C59F7" w14:textId="77777777" w:rsidR="00BF09EC" w:rsidRDefault="00BF09EC" w:rsidP="00BF09EC">
      <w:pPr>
        <w:pStyle w:val="Bibliography"/>
      </w:pPr>
      <w:r>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1ACD0460" w14:textId="13C77C4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expert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w:t>
      </w:r>
      <w:proofErr w:type="spellStart"/>
      <w:r>
        <w:rPr>
          <w:rFonts w:ascii="Times New Roman" w:eastAsia="Times New Roman" w:hAnsi="Times New Roman" w:cs="Times New Roman"/>
          <w:sz w:val="24"/>
          <w:szCs w:val="24"/>
        </w:rPr>
        <w:t>Lannouette</w:t>
      </w:r>
      <w:proofErr w:type="spellEnd"/>
      <w:r>
        <w:rPr>
          <w:rFonts w:ascii="Times New Roman" w:eastAsia="Times New Roman" w:hAnsi="Times New Roman" w:cs="Times New Roman"/>
          <w:sz w:val="24"/>
          <w:szCs w:val="24"/>
        </w:rPr>
        <w:t xml:space="preserv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715D55" w14:paraId="4124E38F" w14:textId="77777777">
        <w:trPr>
          <w:trHeight w:val="44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6F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Site description of all sampled locations. All locations are littoral except for three pelagic locations labelled as “OS”. Because “OS” locations presented logistical challenges, certain temperature and distance from shore measurements were not collected at the same time as the samples. “Adjacent Population” refers to the number of people living in any human settlements directly adjacent to the sampling location. </w:t>
            </w:r>
          </w:p>
        </w:tc>
      </w:tr>
      <w:tr w:rsidR="00715D55" w14:paraId="075EA721"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08AB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Midpoint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76E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Bottom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715D55" w14:paraId="032B760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7E4758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122283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5113E4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7909B2C8"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21C9E9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5A1EBB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0ABC1B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B37BD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471D47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7056E3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DC612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2BA25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0A6CEED0"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749F22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7F810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6007E97E"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CE8009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B6BC0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4A3FAC8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3878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18783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629DA4F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26BC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C8378A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20DBB6F6"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0F9AD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58813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0582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6D4F9DAD"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3BDF4C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008733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DC51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1CB11AE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3A356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7C2EF5D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5FC6BE4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0ECA9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52202D2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3EF299C"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A495E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BB652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1BF58C2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4EEB9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6558AD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5F2BA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50B2ED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12C3D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941D7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7405B99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711BFC2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9A4CB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032D91A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108438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B8756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200C9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E310C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distance-weighted population. Grey sites are located where a distance-weighted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4"/>
            <w:r>
              <w:rPr>
                <w:rFonts w:ascii="Times New Roman" w:eastAsia="Times New Roman" w:hAnsi="Times New Roman" w:cs="Times New Roman"/>
                <w:sz w:val="16"/>
                <w:szCs w:val="16"/>
              </w:rPr>
              <w:t>Table 2: M</w:t>
            </w:r>
            <w:commentRangeEnd w:id="4"/>
            <w:r>
              <w:commentReference w:id="4"/>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tbl>
      <w:tblPr>
        <w:tblStyle w:val="a1"/>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715D55" w14:paraId="602B841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A4CE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1311.29</w:t>
            </w:r>
          </w:p>
        </w:tc>
        <w:tc>
          <w:tcPr>
            <w:tcW w:w="941" w:type="dxa"/>
            <w:tcMar>
              <w:top w:w="100" w:type="dxa"/>
              <w:left w:w="100" w:type="dxa"/>
              <w:bottom w:w="100" w:type="dxa"/>
              <w:right w:w="100" w:type="dxa"/>
            </w:tcMar>
          </w:tcPr>
          <w:p w14:paraId="73DC295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0C0E3696"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9CECD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435.045</w:t>
            </w:r>
          </w:p>
        </w:tc>
        <w:tc>
          <w:tcPr>
            <w:tcW w:w="941" w:type="dxa"/>
            <w:tcMar>
              <w:top w:w="100" w:type="dxa"/>
              <w:left w:w="100" w:type="dxa"/>
              <w:bottom w:w="100" w:type="dxa"/>
              <w:right w:w="100" w:type="dxa"/>
            </w:tcMar>
          </w:tcPr>
          <w:p w14:paraId="0DA4F3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56F2EAC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605712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306.89</w:t>
            </w:r>
          </w:p>
        </w:tc>
        <w:tc>
          <w:tcPr>
            <w:tcW w:w="941" w:type="dxa"/>
            <w:tcMar>
              <w:top w:w="100" w:type="dxa"/>
              <w:left w:w="100" w:type="dxa"/>
              <w:bottom w:w="100" w:type="dxa"/>
              <w:right w:w="100" w:type="dxa"/>
            </w:tcMar>
          </w:tcPr>
          <w:p w14:paraId="0768B4F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2454E7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5E60DA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15.50</w:t>
            </w:r>
          </w:p>
        </w:tc>
        <w:tc>
          <w:tcPr>
            <w:tcW w:w="941" w:type="dxa"/>
            <w:tcMar>
              <w:top w:w="100" w:type="dxa"/>
              <w:left w:w="100" w:type="dxa"/>
              <w:bottom w:w="100" w:type="dxa"/>
              <w:right w:w="100" w:type="dxa"/>
            </w:tcMar>
          </w:tcPr>
          <w:p w14:paraId="449EFC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3FEE3A2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092BA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16.44</w:t>
            </w:r>
          </w:p>
        </w:tc>
        <w:tc>
          <w:tcPr>
            <w:tcW w:w="941" w:type="dxa"/>
            <w:tcMar>
              <w:top w:w="100" w:type="dxa"/>
              <w:left w:w="100" w:type="dxa"/>
              <w:bottom w:w="100" w:type="dxa"/>
              <w:right w:w="100" w:type="dxa"/>
            </w:tcMar>
          </w:tcPr>
          <w:p w14:paraId="080EEED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19D32BCB"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470C8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264.55</w:t>
            </w:r>
          </w:p>
        </w:tc>
        <w:tc>
          <w:tcPr>
            <w:tcW w:w="941" w:type="dxa"/>
            <w:tcMar>
              <w:top w:w="100" w:type="dxa"/>
              <w:left w:w="100" w:type="dxa"/>
              <w:bottom w:w="100" w:type="dxa"/>
              <w:right w:w="100" w:type="dxa"/>
            </w:tcMar>
          </w:tcPr>
          <w:p w14:paraId="65C38B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4F4E8352"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tcPr>
          <w:p w14:paraId="3F77A3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6BC713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3DD6660F"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1B31A7C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34.80</w:t>
            </w:r>
          </w:p>
        </w:tc>
        <w:tc>
          <w:tcPr>
            <w:tcW w:w="941" w:type="dxa"/>
            <w:tcMar>
              <w:top w:w="100" w:type="dxa"/>
              <w:left w:w="100" w:type="dxa"/>
              <w:bottom w:w="100" w:type="dxa"/>
              <w:right w:w="100" w:type="dxa"/>
            </w:tcMar>
          </w:tcPr>
          <w:p w14:paraId="5AFD2D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5664F199"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12A0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43.51</w:t>
            </w:r>
          </w:p>
        </w:tc>
        <w:tc>
          <w:tcPr>
            <w:tcW w:w="941" w:type="dxa"/>
            <w:tcMar>
              <w:top w:w="100" w:type="dxa"/>
              <w:left w:w="100" w:type="dxa"/>
              <w:bottom w:w="100" w:type="dxa"/>
              <w:right w:w="100" w:type="dxa"/>
            </w:tcMar>
          </w:tcPr>
          <w:p w14:paraId="3577F7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607A8533"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0BBDF49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84.84</w:t>
            </w:r>
          </w:p>
        </w:tc>
        <w:tc>
          <w:tcPr>
            <w:tcW w:w="941" w:type="dxa"/>
            <w:tcMar>
              <w:top w:w="100" w:type="dxa"/>
              <w:left w:w="100" w:type="dxa"/>
              <w:bottom w:w="100" w:type="dxa"/>
              <w:right w:w="100" w:type="dxa"/>
            </w:tcMar>
          </w:tcPr>
          <w:p w14:paraId="115E0F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F94143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9EDE8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868.42</w:t>
            </w:r>
          </w:p>
        </w:tc>
        <w:tc>
          <w:tcPr>
            <w:tcW w:w="941" w:type="dxa"/>
            <w:tcMar>
              <w:top w:w="100" w:type="dxa"/>
              <w:left w:w="100" w:type="dxa"/>
              <w:bottom w:w="100" w:type="dxa"/>
              <w:right w:w="100" w:type="dxa"/>
            </w:tcMar>
          </w:tcPr>
          <w:p w14:paraId="26F211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6CDEEC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tcPr>
          <w:p w14:paraId="3DE341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25660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422C752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17205E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6221.74</w:t>
            </w:r>
          </w:p>
        </w:tc>
        <w:tc>
          <w:tcPr>
            <w:tcW w:w="941" w:type="dxa"/>
            <w:tcMar>
              <w:top w:w="100" w:type="dxa"/>
              <w:left w:w="100" w:type="dxa"/>
              <w:bottom w:w="100" w:type="dxa"/>
              <w:right w:w="100" w:type="dxa"/>
            </w:tcMar>
          </w:tcPr>
          <w:p w14:paraId="2E59B2C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97B84F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B99A9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2703.49</w:t>
            </w:r>
          </w:p>
        </w:tc>
        <w:tc>
          <w:tcPr>
            <w:tcW w:w="941" w:type="dxa"/>
            <w:tcMar>
              <w:top w:w="100" w:type="dxa"/>
              <w:left w:w="100" w:type="dxa"/>
              <w:bottom w:w="100" w:type="dxa"/>
              <w:right w:w="100" w:type="dxa"/>
            </w:tcMar>
          </w:tcPr>
          <w:p w14:paraId="711B258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0DB5C5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D3234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1359.84</w:t>
            </w:r>
          </w:p>
        </w:tc>
        <w:tc>
          <w:tcPr>
            <w:tcW w:w="941" w:type="dxa"/>
            <w:tcMar>
              <w:top w:w="100" w:type="dxa"/>
              <w:left w:w="100" w:type="dxa"/>
              <w:bottom w:w="100" w:type="dxa"/>
              <w:right w:w="100" w:type="dxa"/>
            </w:tcMar>
          </w:tcPr>
          <w:p w14:paraId="0A065AF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317B0CE"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43F29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61A89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10AA3A2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EBEDFE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3BA053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E03B194" wp14:editId="5EC05521">
            <wp:extent cx="5412707" cy="857011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12707" cy="8570119"/>
                    </a:xfrm>
                    <a:prstGeom prst="rect">
                      <a:avLst/>
                    </a:prstGeom>
                    <a:ln/>
                  </pic:spPr>
                </pic:pic>
              </a:graphicData>
            </a:graphic>
          </wp:inline>
        </w:drawing>
      </w:r>
    </w:p>
    <w:p w14:paraId="2A82112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distance-weighted population. Total PPCP concentrations (A), N15 (B), and phosphorus (C) produced significant models. Chlorophyll a (D), Nitrate (E), Total Microplastics (F), Ammonium (G), and Microplastic Density (H) did not produce significant models. </w:t>
      </w:r>
      <w:r>
        <w:br w:type="page"/>
      </w:r>
    </w:p>
    <w:p w14:paraId="5AD8598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38EAF14" wp14:editId="63DF4ECE">
            <wp:extent cx="5943600" cy="297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distance-weighted population and colored by sites with high (purple), moderate (pink), and low (orange) distance-weighted population values. PERMANOVA confirmed the three groups to be significantly different (p = 0.023). Sites with a higher distance-weighted population value tended to be more associated with filamentous algal groupings, whereas moderate and low values were more associated with diatom abundance.</w:t>
      </w:r>
      <w:r>
        <w:br w:type="page"/>
      </w:r>
    </w:p>
    <w:p w14:paraId="7F5F2D8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8DF2C0D" wp14:editId="74A9A1D2">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distance-weighted population with major groups including low (orange), moderate (pink), and high (purple) distance-weighted population. PERMANOVA confirmed the three groups to be significantly different (p = 0.002). Sites with a higher distance-weighted population values tended to be associated with amphipod and leech taxa (see Table 2), whereas sites with lesser distance-weighted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distance-weighted population (Table 3). In general, periphyton did not differ in C13 or N15 signatures with increasing distance-weighted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distance-weighted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29ED365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r>
        <w:br w:type="page"/>
      </w:r>
    </w:p>
    <w:p w14:paraId="0C4A75E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C7B93E4" wp14:editId="6BE565D2">
            <wp:extent cx="5943600" cy="4953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953000"/>
                    </a:xfrm>
                    <a:prstGeom prst="rect">
                      <a:avLst/>
                    </a:prstGeom>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D0939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A801AE1" wp14:editId="7F9411A9">
            <wp:extent cx="5943600" cy="495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3DBB4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6303B1" w14:textId="77777777" w:rsidR="00715D55" w:rsidRDefault="00715D55">
      <w:pPr>
        <w:rPr>
          <w:rFonts w:ascii="Times New Roman" w:eastAsia="Times New Roman" w:hAnsi="Times New Roman" w:cs="Times New Roman"/>
          <w:sz w:val="24"/>
          <w:szCs w:val="24"/>
        </w:rP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15D55" w14:paraId="34299402" w14:textId="77777777">
        <w:trPr>
          <w:trHeight w:val="44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885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Metrics for calculating distance-weighted population. All landscape data were measured in google maps, and population data were collected from the 2012 census (</w:t>
            </w:r>
            <w:proofErr w:type="spellStart"/>
            <w:r>
              <w:rPr>
                <w:rFonts w:ascii="Times New Roman" w:eastAsia="Times New Roman" w:hAnsi="Times New Roman" w:cs="Times New Roman"/>
                <w:sz w:val="24"/>
                <w:szCs w:val="24"/>
              </w:rPr>
              <w:t>IrkuStat</w:t>
            </w:r>
            <w:proofErr w:type="spellEnd"/>
            <w:r>
              <w:rPr>
                <w:rFonts w:ascii="Times New Roman" w:eastAsia="Times New Roman" w:hAnsi="Times New Roman" w:cs="Times New Roman"/>
                <w:sz w:val="24"/>
                <w:szCs w:val="24"/>
              </w:rPr>
              <w:t xml:space="preserve">, 2012). LI-1 has values of 0 for all variables because it was the southernmost site. </w:t>
            </w:r>
          </w:p>
        </w:tc>
      </w:tr>
      <w:tr w:rsidR="00715D55" w14:paraId="37FED590"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FCE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BDF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78DF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at southern developed 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DCDE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Shoreline length of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06E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 of southern developed site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tc>
      </w:tr>
      <w:tr w:rsidR="00715D55" w14:paraId="3E856E5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D7C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BK-1</w:t>
            </w:r>
          </w:p>
        </w:tc>
        <w:tc>
          <w:tcPr>
            <w:tcW w:w="1872" w:type="dxa"/>
            <w:tcMar>
              <w:top w:w="100" w:type="dxa"/>
              <w:left w:w="100" w:type="dxa"/>
              <w:bottom w:w="100" w:type="dxa"/>
              <w:right w:w="100" w:type="dxa"/>
            </w:tcMar>
          </w:tcPr>
          <w:p w14:paraId="19896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872" w:type="dxa"/>
            <w:tcMar>
              <w:top w:w="100" w:type="dxa"/>
              <w:left w:w="100" w:type="dxa"/>
              <w:bottom w:w="100" w:type="dxa"/>
              <w:right w:w="100" w:type="dxa"/>
            </w:tcMar>
          </w:tcPr>
          <w:p w14:paraId="484C8E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3C13C6A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DB9D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6FAB8078"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744D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BGO-3</w:t>
            </w:r>
          </w:p>
        </w:tc>
        <w:tc>
          <w:tcPr>
            <w:tcW w:w="1872" w:type="dxa"/>
            <w:tcMar>
              <w:top w:w="100" w:type="dxa"/>
              <w:left w:w="100" w:type="dxa"/>
              <w:bottom w:w="100" w:type="dxa"/>
              <w:right w:w="100" w:type="dxa"/>
            </w:tcMar>
          </w:tcPr>
          <w:p w14:paraId="0647E2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872" w:type="dxa"/>
            <w:tcMar>
              <w:top w:w="100" w:type="dxa"/>
              <w:left w:w="100" w:type="dxa"/>
              <w:bottom w:w="100" w:type="dxa"/>
              <w:right w:w="100" w:type="dxa"/>
            </w:tcMar>
          </w:tcPr>
          <w:p w14:paraId="0ED32EB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872" w:type="dxa"/>
            <w:tcMar>
              <w:top w:w="100" w:type="dxa"/>
              <w:left w:w="100" w:type="dxa"/>
              <w:bottom w:w="100" w:type="dxa"/>
              <w:right w:w="100" w:type="dxa"/>
            </w:tcMar>
          </w:tcPr>
          <w:p w14:paraId="56B37D6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872" w:type="dxa"/>
            <w:tcMar>
              <w:top w:w="100" w:type="dxa"/>
              <w:left w:w="100" w:type="dxa"/>
              <w:bottom w:w="100" w:type="dxa"/>
              <w:right w:w="100" w:type="dxa"/>
            </w:tcMar>
          </w:tcPr>
          <w:p w14:paraId="3EDE428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w:t>
            </w:r>
          </w:p>
        </w:tc>
      </w:tr>
      <w:tr w:rsidR="00715D55" w14:paraId="4F2CB53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81B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BK-2</w:t>
            </w:r>
          </w:p>
        </w:tc>
        <w:tc>
          <w:tcPr>
            <w:tcW w:w="1872" w:type="dxa"/>
            <w:tcMar>
              <w:top w:w="100" w:type="dxa"/>
              <w:left w:w="100" w:type="dxa"/>
              <w:bottom w:w="100" w:type="dxa"/>
              <w:right w:w="100" w:type="dxa"/>
            </w:tcMar>
          </w:tcPr>
          <w:p w14:paraId="5AB928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c>
          <w:tcPr>
            <w:tcW w:w="1872" w:type="dxa"/>
            <w:tcMar>
              <w:top w:w="100" w:type="dxa"/>
              <w:left w:w="100" w:type="dxa"/>
              <w:bottom w:w="100" w:type="dxa"/>
              <w:right w:w="100" w:type="dxa"/>
            </w:tcMar>
          </w:tcPr>
          <w:p w14:paraId="0C5BC92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38409A6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16F8AC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544FEF2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0B13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BK-3</w:t>
            </w:r>
          </w:p>
        </w:tc>
        <w:tc>
          <w:tcPr>
            <w:tcW w:w="1872" w:type="dxa"/>
            <w:tcMar>
              <w:top w:w="100" w:type="dxa"/>
              <w:left w:w="100" w:type="dxa"/>
              <w:bottom w:w="100" w:type="dxa"/>
              <w:right w:w="100" w:type="dxa"/>
            </w:tcMar>
          </w:tcPr>
          <w:p w14:paraId="440A266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872" w:type="dxa"/>
            <w:tcMar>
              <w:top w:w="100" w:type="dxa"/>
              <w:left w:w="100" w:type="dxa"/>
              <w:bottom w:w="100" w:type="dxa"/>
              <w:right w:w="100" w:type="dxa"/>
            </w:tcMar>
          </w:tcPr>
          <w:p w14:paraId="546F039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1E9D7E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430C92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40B17D3"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B21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BGO-1</w:t>
            </w:r>
          </w:p>
        </w:tc>
        <w:tc>
          <w:tcPr>
            <w:tcW w:w="1872" w:type="dxa"/>
            <w:tcMar>
              <w:top w:w="100" w:type="dxa"/>
              <w:left w:w="100" w:type="dxa"/>
              <w:bottom w:w="100" w:type="dxa"/>
              <w:right w:w="100" w:type="dxa"/>
            </w:tcMar>
          </w:tcPr>
          <w:p w14:paraId="6B9727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18.61</w:t>
            </w:r>
          </w:p>
        </w:tc>
        <w:tc>
          <w:tcPr>
            <w:tcW w:w="1872" w:type="dxa"/>
            <w:tcMar>
              <w:top w:w="100" w:type="dxa"/>
              <w:left w:w="100" w:type="dxa"/>
              <w:bottom w:w="100" w:type="dxa"/>
              <w:right w:w="100" w:type="dxa"/>
            </w:tcMar>
          </w:tcPr>
          <w:p w14:paraId="20DD72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6A70336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6D71DBD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2B850821"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E25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BGO-2</w:t>
            </w:r>
          </w:p>
        </w:tc>
        <w:tc>
          <w:tcPr>
            <w:tcW w:w="1872" w:type="dxa"/>
            <w:tcMar>
              <w:top w:w="100" w:type="dxa"/>
              <w:left w:w="100" w:type="dxa"/>
              <w:bottom w:w="100" w:type="dxa"/>
              <w:right w:w="100" w:type="dxa"/>
            </w:tcMar>
          </w:tcPr>
          <w:p w14:paraId="5C0080D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17.54</w:t>
            </w:r>
          </w:p>
        </w:tc>
        <w:tc>
          <w:tcPr>
            <w:tcW w:w="1872" w:type="dxa"/>
            <w:tcMar>
              <w:top w:w="100" w:type="dxa"/>
              <w:left w:w="100" w:type="dxa"/>
              <w:bottom w:w="100" w:type="dxa"/>
              <w:right w:w="100" w:type="dxa"/>
            </w:tcMar>
          </w:tcPr>
          <w:p w14:paraId="1A5B87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45CD53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386C3DA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05AD45"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AE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KD-1</w:t>
            </w:r>
          </w:p>
        </w:tc>
        <w:tc>
          <w:tcPr>
            <w:tcW w:w="1872" w:type="dxa"/>
            <w:tcMar>
              <w:top w:w="100" w:type="dxa"/>
              <w:left w:w="100" w:type="dxa"/>
              <w:bottom w:w="100" w:type="dxa"/>
              <w:right w:w="100" w:type="dxa"/>
            </w:tcMar>
          </w:tcPr>
          <w:p w14:paraId="6E46278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8.29</w:t>
            </w:r>
          </w:p>
        </w:tc>
        <w:tc>
          <w:tcPr>
            <w:tcW w:w="1872" w:type="dxa"/>
            <w:tcMar>
              <w:top w:w="100" w:type="dxa"/>
              <w:left w:w="100" w:type="dxa"/>
              <w:bottom w:w="100" w:type="dxa"/>
              <w:right w:w="100" w:type="dxa"/>
            </w:tcMar>
          </w:tcPr>
          <w:p w14:paraId="1466D2A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7AB8F6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1BA95A9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370EA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1C6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KD-2</w:t>
            </w:r>
          </w:p>
        </w:tc>
        <w:tc>
          <w:tcPr>
            <w:tcW w:w="1872" w:type="dxa"/>
            <w:tcMar>
              <w:top w:w="100" w:type="dxa"/>
              <w:left w:w="100" w:type="dxa"/>
              <w:bottom w:w="100" w:type="dxa"/>
              <w:right w:w="100" w:type="dxa"/>
            </w:tcMar>
          </w:tcPr>
          <w:p w14:paraId="11AFDB0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6.63</w:t>
            </w:r>
          </w:p>
        </w:tc>
        <w:tc>
          <w:tcPr>
            <w:tcW w:w="1872" w:type="dxa"/>
            <w:tcMar>
              <w:top w:w="100" w:type="dxa"/>
              <w:left w:w="100" w:type="dxa"/>
              <w:bottom w:w="100" w:type="dxa"/>
              <w:right w:w="100" w:type="dxa"/>
            </w:tcMar>
          </w:tcPr>
          <w:p w14:paraId="2271C70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1ED0F3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7E6D893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3C1C6B8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AFD0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MS-1</w:t>
            </w:r>
          </w:p>
        </w:tc>
        <w:tc>
          <w:tcPr>
            <w:tcW w:w="1872" w:type="dxa"/>
            <w:tcMar>
              <w:top w:w="100" w:type="dxa"/>
              <w:left w:w="100" w:type="dxa"/>
              <w:bottom w:w="100" w:type="dxa"/>
              <w:right w:w="100" w:type="dxa"/>
            </w:tcMar>
          </w:tcPr>
          <w:p w14:paraId="640AE5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72" w:type="dxa"/>
            <w:tcMar>
              <w:top w:w="100" w:type="dxa"/>
              <w:left w:w="100" w:type="dxa"/>
              <w:bottom w:w="100" w:type="dxa"/>
              <w:right w:w="100" w:type="dxa"/>
            </w:tcMar>
          </w:tcPr>
          <w:p w14:paraId="111C73D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B9462A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698B9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2D801D9"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D8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SM-1</w:t>
            </w:r>
          </w:p>
        </w:tc>
        <w:tc>
          <w:tcPr>
            <w:tcW w:w="1872" w:type="dxa"/>
            <w:tcMar>
              <w:top w:w="100" w:type="dxa"/>
              <w:left w:w="100" w:type="dxa"/>
              <w:bottom w:w="100" w:type="dxa"/>
              <w:right w:w="100" w:type="dxa"/>
            </w:tcMar>
          </w:tcPr>
          <w:p w14:paraId="5D52669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5.23</w:t>
            </w:r>
          </w:p>
        </w:tc>
        <w:tc>
          <w:tcPr>
            <w:tcW w:w="1872" w:type="dxa"/>
            <w:tcMar>
              <w:top w:w="100" w:type="dxa"/>
              <w:left w:w="100" w:type="dxa"/>
              <w:bottom w:w="100" w:type="dxa"/>
              <w:right w:w="100" w:type="dxa"/>
            </w:tcMar>
          </w:tcPr>
          <w:p w14:paraId="3D37D7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225DA3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D6911A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68435207"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C02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OS-1</w:t>
            </w:r>
          </w:p>
        </w:tc>
        <w:tc>
          <w:tcPr>
            <w:tcW w:w="1872" w:type="dxa"/>
            <w:tcMar>
              <w:top w:w="100" w:type="dxa"/>
              <w:left w:w="100" w:type="dxa"/>
              <w:bottom w:w="100" w:type="dxa"/>
              <w:right w:w="100" w:type="dxa"/>
            </w:tcMar>
          </w:tcPr>
          <w:p w14:paraId="6A97FF6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42DB48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872D1D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77EA080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36F63F9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D4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OS-2</w:t>
            </w:r>
          </w:p>
        </w:tc>
        <w:tc>
          <w:tcPr>
            <w:tcW w:w="1872" w:type="dxa"/>
            <w:tcMar>
              <w:top w:w="100" w:type="dxa"/>
              <w:left w:w="100" w:type="dxa"/>
              <w:bottom w:w="100" w:type="dxa"/>
              <w:right w:w="100" w:type="dxa"/>
            </w:tcMar>
          </w:tcPr>
          <w:p w14:paraId="4309B3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64047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B141D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5DC70421"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45A1437C"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DA1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EM-1</w:t>
            </w:r>
          </w:p>
        </w:tc>
        <w:tc>
          <w:tcPr>
            <w:tcW w:w="1872" w:type="dxa"/>
            <w:tcMar>
              <w:top w:w="100" w:type="dxa"/>
              <w:left w:w="100" w:type="dxa"/>
              <w:bottom w:w="100" w:type="dxa"/>
              <w:right w:w="100" w:type="dxa"/>
            </w:tcMar>
          </w:tcPr>
          <w:p w14:paraId="42A4F0A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1872" w:type="dxa"/>
            <w:tcMar>
              <w:top w:w="100" w:type="dxa"/>
              <w:left w:w="100" w:type="dxa"/>
              <w:bottom w:w="100" w:type="dxa"/>
              <w:right w:w="100" w:type="dxa"/>
            </w:tcMar>
          </w:tcPr>
          <w:p w14:paraId="4CB12A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3AA30A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319F38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43E6448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6CF2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LI-1</w:t>
            </w:r>
          </w:p>
        </w:tc>
        <w:tc>
          <w:tcPr>
            <w:tcW w:w="1872" w:type="dxa"/>
            <w:tcMar>
              <w:top w:w="100" w:type="dxa"/>
              <w:left w:w="100" w:type="dxa"/>
              <w:bottom w:w="100" w:type="dxa"/>
              <w:right w:w="100" w:type="dxa"/>
            </w:tcMar>
          </w:tcPr>
          <w:p w14:paraId="5866D71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7C56CD8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9184A2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3E283C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15D55" w14:paraId="7F0F797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0DE9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LI-2</w:t>
            </w:r>
          </w:p>
        </w:tc>
        <w:tc>
          <w:tcPr>
            <w:tcW w:w="1872" w:type="dxa"/>
            <w:tcMar>
              <w:top w:w="100" w:type="dxa"/>
              <w:left w:w="100" w:type="dxa"/>
              <w:bottom w:w="100" w:type="dxa"/>
              <w:right w:w="100" w:type="dxa"/>
            </w:tcMar>
          </w:tcPr>
          <w:p w14:paraId="14C738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72" w:type="dxa"/>
            <w:tcMar>
              <w:top w:w="100" w:type="dxa"/>
              <w:left w:w="100" w:type="dxa"/>
              <w:bottom w:w="100" w:type="dxa"/>
              <w:right w:w="100" w:type="dxa"/>
            </w:tcMar>
          </w:tcPr>
          <w:p w14:paraId="39CF0F1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5783C77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5880AB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7D7C0B2D"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502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LI-3</w:t>
            </w:r>
          </w:p>
        </w:tc>
        <w:tc>
          <w:tcPr>
            <w:tcW w:w="1872" w:type="dxa"/>
            <w:tcMar>
              <w:top w:w="100" w:type="dxa"/>
              <w:left w:w="100" w:type="dxa"/>
              <w:bottom w:w="100" w:type="dxa"/>
              <w:right w:w="100" w:type="dxa"/>
            </w:tcMar>
          </w:tcPr>
          <w:p w14:paraId="2E36BB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c>
          <w:tcPr>
            <w:tcW w:w="1872" w:type="dxa"/>
            <w:tcMar>
              <w:top w:w="100" w:type="dxa"/>
              <w:left w:w="100" w:type="dxa"/>
              <w:bottom w:w="100" w:type="dxa"/>
              <w:right w:w="100" w:type="dxa"/>
            </w:tcMar>
          </w:tcPr>
          <w:p w14:paraId="04B2592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9141E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3EE06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06DF5C84"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C3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OS-3</w:t>
            </w:r>
          </w:p>
        </w:tc>
        <w:tc>
          <w:tcPr>
            <w:tcW w:w="1872" w:type="dxa"/>
            <w:tcMar>
              <w:top w:w="100" w:type="dxa"/>
              <w:left w:w="100" w:type="dxa"/>
              <w:bottom w:w="100" w:type="dxa"/>
              <w:right w:w="100" w:type="dxa"/>
            </w:tcMar>
          </w:tcPr>
          <w:p w14:paraId="2FF4315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6148E3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1DA1EB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7E63DD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1ECEDA6" w14:textId="0A908571" w:rsidR="00715D55" w:rsidRDefault="00715D55">
      <w:pPr>
        <w:rPr>
          <w:rFonts w:ascii="Times New Roman" w:eastAsia="Times New Roman" w:hAnsi="Times New Roman" w:cs="Times New Roman"/>
          <w:sz w:val="24"/>
          <w:szCs w:val="24"/>
        </w:rPr>
      </w:pP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1-24T22:01:00Z" w:initials="">
    <w:p w14:paraId="52D163AC" w14:textId="77777777" w:rsidR="008A299A" w:rsidRDefault="008A299A">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Michael Meyer" w:date="2019-11-15T18:52:00Z" w:initials="">
    <w:p w14:paraId="4E9421BA" w14:textId="77777777" w:rsidR="008A299A" w:rsidRDefault="008A299A">
      <w:pPr>
        <w:widowControl w:val="0"/>
        <w:pBdr>
          <w:top w:val="nil"/>
          <w:left w:val="nil"/>
          <w:bottom w:val="nil"/>
          <w:right w:val="nil"/>
          <w:between w:val="nil"/>
        </w:pBdr>
        <w:spacing w:line="240" w:lineRule="auto"/>
        <w:rPr>
          <w:color w:val="000000"/>
        </w:rPr>
      </w:pPr>
      <w:r>
        <w:rPr>
          <w:color w:val="000000"/>
        </w:rPr>
        <w:t>SH: We need more detail here.</w:t>
      </w:r>
    </w:p>
    <w:p w14:paraId="23DEBDAE" w14:textId="77777777" w:rsidR="008A299A" w:rsidRDefault="008A299A">
      <w:pPr>
        <w:widowControl w:val="0"/>
        <w:pBdr>
          <w:top w:val="nil"/>
          <w:left w:val="nil"/>
          <w:bottom w:val="nil"/>
          <w:right w:val="nil"/>
          <w:between w:val="nil"/>
        </w:pBdr>
        <w:spacing w:line="240" w:lineRule="auto"/>
        <w:rPr>
          <w:color w:val="000000"/>
        </w:rPr>
      </w:pPr>
    </w:p>
    <w:p w14:paraId="331F7F46" w14:textId="77777777" w:rsidR="008A299A" w:rsidRDefault="008A299A">
      <w:pPr>
        <w:widowControl w:val="0"/>
        <w:pBdr>
          <w:top w:val="nil"/>
          <w:left w:val="nil"/>
          <w:bottom w:val="nil"/>
          <w:right w:val="nil"/>
          <w:between w:val="nil"/>
        </w:pBdr>
        <w:spacing w:line="240" w:lineRule="auto"/>
        <w:rPr>
          <w:color w:val="000000"/>
        </w:rPr>
      </w:pPr>
      <w:r>
        <w:rPr>
          <w:color w:val="000000"/>
        </w:rPr>
        <w:t xml:space="preserve">MM: I just translated what TO </w:t>
      </w:r>
      <w:proofErr w:type="spellStart"/>
      <w:r>
        <w:rPr>
          <w:color w:val="000000"/>
        </w:rPr>
        <w:t>sent</w:t>
      </w:r>
      <w:proofErr w:type="spellEnd"/>
      <w:r>
        <w:rPr>
          <w:color w:val="000000"/>
        </w:rPr>
        <w:t xml:space="preserve"> me....maybe he can ask </w:t>
      </w:r>
      <w:proofErr w:type="spellStart"/>
      <w:r>
        <w:rPr>
          <w:color w:val="000000"/>
        </w:rPr>
        <w:t>Pastukhov</w:t>
      </w:r>
      <w:proofErr w:type="spellEnd"/>
      <w:r>
        <w:rPr>
          <w:color w:val="000000"/>
        </w:rPr>
        <w:t>?</w:t>
      </w:r>
    </w:p>
    <w:p w14:paraId="2B9474E5" w14:textId="77777777" w:rsidR="008A299A" w:rsidRDefault="008A299A">
      <w:pPr>
        <w:widowControl w:val="0"/>
        <w:pBdr>
          <w:top w:val="nil"/>
          <w:left w:val="nil"/>
          <w:bottom w:val="nil"/>
          <w:right w:val="nil"/>
          <w:between w:val="nil"/>
        </w:pBdr>
        <w:spacing w:line="240" w:lineRule="auto"/>
        <w:rPr>
          <w:color w:val="000000"/>
        </w:rPr>
      </w:pPr>
    </w:p>
    <w:p w14:paraId="79554C54" w14:textId="585E3C3C" w:rsidR="008A299A" w:rsidRDefault="008A299A">
      <w:pPr>
        <w:widowControl w:val="0"/>
        <w:pBdr>
          <w:top w:val="nil"/>
          <w:left w:val="nil"/>
          <w:bottom w:val="nil"/>
          <w:right w:val="nil"/>
          <w:between w:val="nil"/>
        </w:pBdr>
        <w:spacing w:line="240" w:lineRule="auto"/>
        <w:rPr>
          <w:color w:val="000000"/>
        </w:rPr>
      </w:pPr>
      <w:r>
        <w:rPr>
          <w:color w:val="000000"/>
        </w:rPr>
        <w:t>SH: maybe he can help decide whether more detail is needed</w:t>
      </w:r>
    </w:p>
  </w:comment>
  <w:comment w:id="2" w:author="Michael Meyer" w:date="2020-01-28T20:07:00Z" w:initials="">
    <w:p w14:paraId="5A6269B5" w14:textId="77777777" w:rsidR="008A299A" w:rsidRDefault="008A299A">
      <w:pPr>
        <w:widowControl w:val="0"/>
        <w:pBdr>
          <w:top w:val="nil"/>
          <w:left w:val="nil"/>
          <w:bottom w:val="nil"/>
          <w:right w:val="nil"/>
          <w:between w:val="nil"/>
        </w:pBdr>
        <w:spacing w:line="240" w:lineRule="auto"/>
        <w:rPr>
          <w:color w:val="000000"/>
        </w:rPr>
      </w:pPr>
      <w:r>
        <w:rPr>
          <w:color w:val="000000"/>
        </w:rPr>
        <w:t>We should get make and model of machine from either AG or JS.</w:t>
      </w:r>
    </w:p>
  </w:comment>
  <w:comment w:id="4" w:author="Michael Meyer" w:date="2020-01-28T20:16:00Z" w:initials="">
    <w:p w14:paraId="339D4A23" w14:textId="77777777" w:rsidR="008A299A" w:rsidRDefault="008A299A">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79554C54" w15:done="0"/>
  <w15:commentEx w15:paraId="5A6269B5" w15:done="0"/>
  <w15:commentEx w15:paraId="339D4A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79554C54" w16cid:durableId="21E7A71F"/>
  <w16cid:commentId w16cid:paraId="5A6269B5" w16cid:durableId="21E7A723"/>
  <w16cid:commentId w16cid:paraId="339D4A23" w16cid:durableId="21E7A7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307DE"/>
    <w:rsid w:val="000B5308"/>
    <w:rsid w:val="000F223A"/>
    <w:rsid w:val="000F7A09"/>
    <w:rsid w:val="00115FCB"/>
    <w:rsid w:val="001936D1"/>
    <w:rsid w:val="001A1BBB"/>
    <w:rsid w:val="001B7B02"/>
    <w:rsid w:val="001F0393"/>
    <w:rsid w:val="00232F99"/>
    <w:rsid w:val="00236ED5"/>
    <w:rsid w:val="002849B1"/>
    <w:rsid w:val="00292741"/>
    <w:rsid w:val="004361D1"/>
    <w:rsid w:val="00491178"/>
    <w:rsid w:val="004B4081"/>
    <w:rsid w:val="00536BE1"/>
    <w:rsid w:val="00557916"/>
    <w:rsid w:val="005F4343"/>
    <w:rsid w:val="00651D3A"/>
    <w:rsid w:val="006B3ABE"/>
    <w:rsid w:val="006D5521"/>
    <w:rsid w:val="006E0A52"/>
    <w:rsid w:val="006F5F57"/>
    <w:rsid w:val="00715D55"/>
    <w:rsid w:val="00754A6A"/>
    <w:rsid w:val="00777C14"/>
    <w:rsid w:val="007911B2"/>
    <w:rsid w:val="00794B9B"/>
    <w:rsid w:val="007A0023"/>
    <w:rsid w:val="007E0849"/>
    <w:rsid w:val="0081388E"/>
    <w:rsid w:val="00833288"/>
    <w:rsid w:val="00833C11"/>
    <w:rsid w:val="008A299A"/>
    <w:rsid w:val="008C64AE"/>
    <w:rsid w:val="008C6721"/>
    <w:rsid w:val="00956343"/>
    <w:rsid w:val="009654BD"/>
    <w:rsid w:val="009A7491"/>
    <w:rsid w:val="009D0DDD"/>
    <w:rsid w:val="009D6A53"/>
    <w:rsid w:val="00A011BB"/>
    <w:rsid w:val="00A6440C"/>
    <w:rsid w:val="00A92B32"/>
    <w:rsid w:val="00B24F30"/>
    <w:rsid w:val="00B417BC"/>
    <w:rsid w:val="00B803E2"/>
    <w:rsid w:val="00BD46C3"/>
    <w:rsid w:val="00BF09EC"/>
    <w:rsid w:val="00C131EF"/>
    <w:rsid w:val="00CE567A"/>
    <w:rsid w:val="00CF3363"/>
    <w:rsid w:val="00D2684E"/>
    <w:rsid w:val="00D438C7"/>
    <w:rsid w:val="00D52D89"/>
    <w:rsid w:val="00D8535D"/>
    <w:rsid w:val="00DC6FEA"/>
    <w:rsid w:val="00E479B7"/>
    <w:rsid w:val="00EC59E6"/>
    <w:rsid w:val="00ED3EE8"/>
    <w:rsid w:val="00EE52D2"/>
    <w:rsid w:val="00EF4024"/>
    <w:rsid w:val="00EF7A40"/>
    <w:rsid w:val="00F34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40</Pages>
  <Words>39889</Words>
  <Characters>227370</Characters>
  <Application>Microsoft Office Word</Application>
  <DocSecurity>0</DocSecurity>
  <Lines>1894</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4</cp:revision>
  <cp:lastPrinted>2020-02-10T18:04:00Z</cp:lastPrinted>
  <dcterms:created xsi:type="dcterms:W3CDTF">2020-02-10T18:04:00Z</dcterms:created>
  <dcterms:modified xsi:type="dcterms:W3CDTF">2020-02-10T20:21:00Z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id="tmSRam44"/&gt;&lt;style id="http://www.zotero.org/styles/limnology-and-oceanography" hasBibliography="1" bibliographyStyleHasBeenSet="1"/&gt;&lt;prefs&gt;&lt;pref name="fieldType" value="Field"/&gt;&lt;/prefs&gt;&lt;/data&gt;</vt:lpwstr>
  </property>
</Properties>
</file>