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Tedy</w:t>
      </w:r>
      <w:proofErr w:type="spellEnd"/>
      <w:r w:rsidRPr="0081508A">
        <w:rPr>
          <w:rFonts w:ascii="Times New Roman" w:hAnsi="Times New Roman" w:cs="Times New Roman"/>
        </w:rPr>
        <w:t xml:space="preserve">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Aaron 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762AB8DF" w:rsidR="00715D55" w:rsidRDefault="00D8535D">
      <w:pPr>
        <w:rPr>
          <w:b/>
        </w:rPr>
      </w:pPr>
      <w:r>
        <w:rPr>
          <w:b/>
        </w:rPr>
        <w:lastRenderedPageBreak/>
        <w:t>Abstract (2</w:t>
      </w:r>
      <w:r w:rsidR="0073707F">
        <w:rPr>
          <w:b/>
        </w:rPr>
        <w:t>4</w:t>
      </w:r>
      <w:r w:rsidR="00274B1A">
        <w:rPr>
          <w:b/>
        </w:rPr>
        <w:t>9</w:t>
      </w:r>
      <w:r>
        <w:rPr>
          <w:b/>
        </w:rPr>
        <w:t>/250 words)</w:t>
      </w:r>
    </w:p>
    <w:p w14:paraId="6365BCF6" w14:textId="77777777" w:rsidR="00715D55" w:rsidRDefault="00715D55"/>
    <w:p w14:paraId="510F10FE" w14:textId="3DF05182"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w:t>
      </w:r>
      <w:r w:rsidR="00B7250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with ecological consequences</w:t>
      </w:r>
      <w:r w:rsidR="00D8535D">
        <w:rPr>
          <w:rFonts w:ascii="Times New Roman" w:eastAsia="Times New Roman" w:hAnsi="Times New Roman" w:cs="Times New Roman"/>
          <w:sz w:val="24"/>
          <w:szCs w:val="24"/>
          <w:highlight w:val="white"/>
        </w:rPr>
        <w:t xml:space="preserve">. Sewage released from </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uch lakeside development is a type of high impact </w:t>
      </w:r>
      <w:r w:rsidR="00363613">
        <w:rPr>
          <w:rFonts w:ascii="Times New Roman" w:eastAsia="Times New Roman" w:hAnsi="Times New Roman" w:cs="Times New Roman"/>
          <w:sz w:val="24"/>
          <w:szCs w:val="24"/>
          <w:highlight w:val="white"/>
        </w:rPr>
        <w:t xml:space="preserve">human </w:t>
      </w:r>
      <w:r w:rsidR="00D8535D">
        <w:rPr>
          <w:rFonts w:ascii="Times New Roman" w:eastAsia="Times New Roman" w:hAnsi="Times New Roman" w:cs="Times New Roman"/>
          <w:sz w:val="24"/>
          <w:szCs w:val="24"/>
          <w:highlight w:val="white"/>
        </w:rPr>
        <w:t xml:space="preserve">disturbance with effects most immediately observed among littoral biota. Lake Baikal, </w:t>
      </w:r>
      <w:r w:rsidR="00587BE1">
        <w:rPr>
          <w:rFonts w:ascii="Times New Roman" w:eastAsia="Times New Roman" w:hAnsi="Times New Roman" w:cs="Times New Roman"/>
          <w:sz w:val="24"/>
          <w:szCs w:val="24"/>
          <w:highlight w:val="white"/>
        </w:rPr>
        <w:t>a large</w:t>
      </w:r>
      <w:r w:rsidR="0073707F">
        <w:rPr>
          <w:rFonts w:ascii="Times New Roman" w:eastAsia="Times New Roman" w:hAnsi="Times New Roman" w:cs="Times New Roman"/>
          <w:sz w:val="24"/>
          <w:szCs w:val="24"/>
          <w:highlight w:val="white"/>
        </w:rPr>
        <w:t xml:space="preserve">, </w:t>
      </w:r>
      <w:r w:rsidR="00587BE1">
        <w:rPr>
          <w:rFonts w:ascii="Times New Roman" w:eastAsia="Times New Roman" w:hAnsi="Times New Roman" w:cs="Times New Roman"/>
          <w:sz w:val="24"/>
          <w:szCs w:val="24"/>
          <w:highlight w:val="white"/>
        </w:rPr>
        <w:t>oligotrophic lake</w:t>
      </w:r>
      <w:r w:rsidR="00D8535D">
        <w:rPr>
          <w:rFonts w:ascii="Times New Roman" w:eastAsia="Times New Roman" w:hAnsi="Times New Roman" w:cs="Times New Roman"/>
          <w:sz w:val="24"/>
          <w:szCs w:val="24"/>
          <w:highlight w:val="white"/>
        </w:rPr>
        <w:t xml:space="preserve">, 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r w:rsidR="00363613">
        <w:rPr>
          <w:rFonts w:ascii="Times New Roman" w:eastAsia="Times New Roman" w:hAnsi="Times New Roman" w:cs="Times New Roman"/>
          <w:sz w:val="24"/>
          <w:szCs w:val="24"/>
          <w:highlight w:val="white"/>
        </w:rPr>
        <w:t xml:space="preserve">; increasing filamentous algal abundance has provided evidence that </w:t>
      </w:r>
      <w:r w:rsidR="00D8535D">
        <w:rPr>
          <w:rFonts w:ascii="Times New Roman" w:eastAsia="Times New Roman" w:hAnsi="Times New Roman" w:cs="Times New Roman"/>
          <w:sz w:val="24"/>
          <w:szCs w:val="24"/>
          <w:highlight w:val="white"/>
        </w:rPr>
        <w:t xml:space="preserve">nearshore benthic </w:t>
      </w:r>
      <w:r w:rsidR="00106752">
        <w:rPr>
          <w:rFonts w:ascii="Times New Roman" w:eastAsia="Times New Roman" w:hAnsi="Times New Roman" w:cs="Times New Roman"/>
          <w:sz w:val="24"/>
          <w:szCs w:val="24"/>
          <w:highlight w:val="white"/>
        </w:rPr>
        <w:t xml:space="preserve">communities </w:t>
      </w:r>
      <w:r w:rsidR="00363613">
        <w:rPr>
          <w:rFonts w:ascii="Times New Roman" w:eastAsia="Times New Roman" w:hAnsi="Times New Roman" w:cs="Times New Roman"/>
          <w:sz w:val="24"/>
          <w:szCs w:val="24"/>
          <w:highlight w:val="white"/>
        </w:rPr>
        <w:t xml:space="preserve">may </w:t>
      </w:r>
      <w:r w:rsidR="00D8535D">
        <w:rPr>
          <w:rFonts w:ascii="Times New Roman" w:eastAsia="Times New Roman" w:hAnsi="Times New Roman" w:cs="Times New Roman"/>
          <w:sz w:val="24"/>
          <w:szCs w:val="24"/>
          <w:highlight w:val="white"/>
        </w:rPr>
        <w:t>be responding</w:t>
      </w:r>
      <w:r w:rsidR="00363613">
        <w:rPr>
          <w:rFonts w:ascii="Times New Roman" w:eastAsia="Times New Roman" w:hAnsi="Times New Roman" w:cs="Times New Roman"/>
          <w:sz w:val="24"/>
          <w:szCs w:val="24"/>
          <w:highlight w:val="white"/>
        </w:rPr>
        <w:t xml:space="preserve"> to sewage inputs</w:t>
      </w:r>
      <w:r w:rsidR="00D8535D">
        <w:rPr>
          <w:rFonts w:ascii="Times New Roman" w:eastAsia="Times New Roman" w:hAnsi="Times New Roman" w:cs="Times New Roman"/>
          <w:sz w:val="24"/>
          <w:szCs w:val="24"/>
          <w:highlight w:val="white"/>
        </w:rPr>
        <w:t xml:space="preserve">. To </w:t>
      </w:r>
      <w:r w:rsidR="00106752">
        <w:rPr>
          <w:rFonts w:ascii="Times New Roman" w:eastAsia="Times New Roman" w:hAnsi="Times New Roman" w:cs="Times New Roman"/>
          <w:sz w:val="24"/>
          <w:szCs w:val="24"/>
          <w:highlight w:val="white"/>
        </w:rPr>
        <w:t xml:space="preserve">determine </w:t>
      </w:r>
      <w:r w:rsidR="00D8535D">
        <w:rPr>
          <w:rFonts w:ascii="Times New Roman" w:eastAsia="Times New Roman" w:hAnsi="Times New Roman" w:cs="Times New Roman"/>
          <w:sz w:val="24"/>
          <w:szCs w:val="24"/>
          <w:highlight w:val="white"/>
        </w:rPr>
        <w:t xml:space="preserve">the </w:t>
      </w:r>
      <w:r w:rsidR="008F41D6">
        <w:rPr>
          <w:rFonts w:ascii="Times New Roman" w:eastAsia="Times New Roman" w:hAnsi="Times New Roman" w:cs="Times New Roman"/>
          <w:sz w:val="24"/>
          <w:szCs w:val="24"/>
          <w:highlight w:val="white"/>
        </w:rPr>
        <w:t>presence</w:t>
      </w:r>
      <w:r w:rsidR="00D8535D">
        <w:rPr>
          <w:rFonts w:ascii="Times New Roman" w:eastAsia="Times New Roman" w:hAnsi="Times New Roman" w:cs="Times New Roman"/>
          <w:sz w:val="24"/>
          <w:szCs w:val="24"/>
          <w:highlight w:val="white"/>
        </w:rPr>
        <w:t xml:space="preserve">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w:t>
      </w:r>
      <w:r w:rsidR="00C03D31">
        <w:rPr>
          <w:rFonts w:ascii="Times New Roman" w:eastAsia="Times New Roman" w:hAnsi="Times New Roman" w:cs="Times New Roman"/>
          <w:sz w:val="24"/>
          <w:szCs w:val="24"/>
          <w:highlight w:val="white"/>
        </w:rPr>
        <w:t>d</w:t>
      </w:r>
      <w:r w:rsidR="00D8535D">
        <w:rPr>
          <w:rFonts w:ascii="Times New Roman" w:eastAsia="Times New Roman" w:hAnsi="Times New Roman" w:cs="Times New Roman"/>
          <w:sz w:val="24"/>
          <w:szCs w:val="24"/>
          <w:highlight w:val="white"/>
        </w:rPr>
        <w:t xml:space="preserve"> into Lake Baikal, we surveyed 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106752">
        <w:rPr>
          <w:rFonts w:ascii="Times New Roman" w:eastAsia="Times New Roman" w:hAnsi="Times New Roman" w:cs="Times New Roman"/>
          <w:sz w:val="24"/>
          <w:szCs w:val="24"/>
          <w:highlight w:val="white"/>
        </w:rPr>
        <w:t>indicators of food web structure (stable isotopes and fatty acid composition)</w:t>
      </w:r>
      <w:r w:rsidR="00D8535D">
        <w:rPr>
          <w:rFonts w:ascii="Times New Roman" w:eastAsia="Times New Roman" w:hAnsi="Times New Roman" w:cs="Times New Roman"/>
          <w:sz w:val="24"/>
          <w:szCs w:val="24"/>
          <w:highlight w:val="white"/>
        </w:rPr>
        <w:t xml:space="preserve">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column,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Periphyton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w:t>
      </w:r>
      <w:r w:rsidR="00F536BA">
        <w:rPr>
          <w:rFonts w:ascii="Times New Roman" w:eastAsia="Times New Roman" w:hAnsi="Times New Roman" w:cs="Times New Roman"/>
          <w:sz w:val="24"/>
          <w:szCs w:val="24"/>
          <w:highlight w:val="white"/>
        </w:rPr>
        <w:t>increased filamentous algae presence near developed sites</w:t>
      </w:r>
      <w:r w:rsidR="00D8535D">
        <w:rPr>
          <w:rFonts w:ascii="Times New Roman" w:eastAsia="Times New Roman" w:hAnsi="Times New Roman" w:cs="Times New Roman"/>
          <w:sz w:val="24"/>
          <w:szCs w:val="24"/>
          <w:highlight w:val="white"/>
        </w:rPr>
        <w:t xml:space="preserve">,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w:t>
      </w:r>
      <w:r w:rsidR="00F536BA">
        <w:rPr>
          <w:rFonts w:ascii="Times New Roman" w:eastAsia="Times New Roman" w:hAnsi="Times New Roman" w:cs="Times New Roman"/>
          <w:sz w:val="24"/>
          <w:szCs w:val="24"/>
          <w:highlight w:val="white"/>
        </w:rPr>
        <w:t>, with amphipods potentially changing 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changing periphyton communities</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considering growing 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w:t>
      </w:r>
      <w:r w:rsidR="002249CB">
        <w:rPr>
          <w:rFonts w:ascii="Times New Roman" w:eastAsia="Times New Roman" w:hAnsi="Times New Roman" w:cs="Times New Roman"/>
          <w:sz w:val="24"/>
          <w:szCs w:val="24"/>
          <w:highlight w:val="white"/>
        </w:rPr>
        <w:t>may heighten risk for future environmental consequences</w:t>
      </w:r>
      <w:r w:rsidR="00D8535D">
        <w:rPr>
          <w:rFonts w:ascii="Times New Roman" w:eastAsia="Times New Roman" w:hAnsi="Times New Roman" w:cs="Times New Roman"/>
          <w:sz w:val="24"/>
          <w:szCs w:val="24"/>
          <w:highlight w:val="white"/>
        </w:rPr>
        <w:t>.</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6C972F54"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within sewage, nutrient inputs can also originate from disparate anthropogenic and 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w:t>
      </w:r>
      <w:r w:rsidR="00BE0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w:t>
      </w:r>
      <w:bookmarkStart w:id="0" w:name="_GoBack"/>
      <w:bookmarkEnd w:id="0"/>
      <w:r w:rsidR="00D52D89" w:rsidRPr="00D52D89">
        <w:rPr>
          <w:rFonts w:ascii="Times New Roman" w:hAnsi="Times New Roman" w:cs="Times New Roman"/>
          <w:sz w:val="24"/>
        </w:rPr>
        <w:t xml:space="preserve">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nutrients quickly from the water column (e.g., hours), such that deviation in typical water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0EA15371"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 xml:space="preserve">pollutants consistently associated with human activity, such as </w:t>
      </w:r>
      <w:bookmarkStart w:id="1"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1"/>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EE5D2F">
        <w:rPr>
          <w:rFonts w:ascii="Times New Roman" w:eastAsia="Times New Roman" w:hAnsi="Times New Roman" w:cs="Times New Roman"/>
          <w:sz w:val="24"/>
          <w:szCs w:val="24"/>
        </w:rPr>
        <w:instrText xml:space="preserve"> ADDIN ZOTERO_ITEM CSL_CITATION {"citationID":"2NpoMwNj","properties":{"formattedCitation":"(Costanzo et al. 2001)","plainCitation":"(Costanzo et al. 2001)","noteIndex":0},"citationItems":[{"id":701,"uris":["http://zotero.org/users/2645460/items/TQCV4THG"],"uri":["http://zotero.org/users/2645460/items/TQCV4THG"],"itemData":{"id":701,"type":"article-journal","container-title":"Marine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schema":"https://github.com/citation-style-language/schema/raw/master/csl-citation.json"} </w:instrText>
      </w:r>
      <w:r w:rsidR="00EE5D2F">
        <w:rPr>
          <w:rFonts w:ascii="Times New Roman" w:eastAsia="Times New Roman" w:hAnsi="Times New Roman" w:cs="Times New Roman"/>
          <w:sz w:val="24"/>
          <w:szCs w:val="24"/>
        </w:rPr>
        <w:fldChar w:fldCharType="separate"/>
      </w:r>
      <w:r w:rsidR="00EE5D2F" w:rsidRPr="00EA5EAE">
        <w:rPr>
          <w:rFonts w:ascii="Times New Roman" w:hAnsi="Times New Roman" w:cs="Times New Roman"/>
          <w:sz w:val="24"/>
        </w:rPr>
        <w:t>(Costanzo et al. 2001)</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lastRenderedPageBreak/>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E86FF8">
        <w:rPr>
          <w:rFonts w:ascii="Times New Roman" w:eastAsia="Times New Roman" w:hAnsi="Times New Roman" w:cs="Times New Roman"/>
          <w:sz w:val="24"/>
          <w:szCs w:val="24"/>
        </w:rPr>
        <w:t xml:space="preserve">duration as well as spatial extent of sewage pollution within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191020AF"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frequently are seen first among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identity</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and nutritional quality</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consumer guilds.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sidR="00D8535D">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All EFAs are critical to maintaining cellular membrane fluidity especially in cold environments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(Nichols et al. 1993)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yet longer chain EFAs are generally more beneficial. Additionally, 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In either event, comparing consumer fatty acid compositions to potential resources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0B7EC95"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investigate community 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(Ministry of Natural Resources and Ecology of the Russian Federation 2014)</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blooms </w:t>
      </w:r>
      <w:r w:rsidR="009B7513">
        <w:rPr>
          <w:rFonts w:ascii="Times New Roman" w:eastAsia="Times New Roman" w:hAnsi="Times New Roman" w:cs="Times New Roman"/>
          <w:sz w:val="24"/>
          <w:szCs w:val="24"/>
        </w:rPr>
        <w:t xml:space="preserve">historically occur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a compelling case 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for lakeside settlements has been the main driver of nearshore </w:t>
      </w:r>
      <w:r w:rsidR="005F7A18">
        <w:rPr>
          <w:rFonts w:ascii="Times New Roman" w:eastAsia="Times New Roman" w:hAnsi="Times New Roman" w:cs="Times New Roman"/>
          <w:sz w:val="24"/>
          <w:szCs w:val="24"/>
        </w:rPr>
        <w:t>algal blooms</w:t>
      </w:r>
      <w:r>
        <w:rPr>
          <w:rFonts w:ascii="Times New Roman" w:eastAsia="Times New Roman" w:hAnsi="Times New Roman" w:cs="Times New Roman"/>
          <w:sz w:val="24"/>
          <w:szCs w:val="24"/>
        </w:rPr>
        <w:t>, motivating further research that might identify the extent to which sewage is altering nearshore communities.</w:t>
      </w:r>
    </w:p>
    <w:p w14:paraId="789E8C41" w14:textId="77777777" w:rsidR="00B55E36" w:rsidRDefault="00B55E36" w:rsidP="00B55E36">
      <w:pPr>
        <w:rPr>
          <w:rFonts w:ascii="Times New Roman" w:eastAsia="Times New Roman" w:hAnsi="Times New Roman" w:cs="Times New Roman"/>
          <w:sz w:val="24"/>
          <w:szCs w:val="24"/>
        </w:rPr>
      </w:pPr>
    </w:p>
    <w:p w14:paraId="2BDB9244" w14:textId="698A27FB"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Pr>
          <w:rFonts w:ascii="Times New Roman" w:eastAsia="Times New Roman" w:hAnsi="Times New Roman" w:cs="Times New Roman"/>
          <w:sz w:val="24"/>
          <w:szCs w:val="24"/>
        </w:rPr>
        <w:t>in Baikal’s nearshore periphyton communities</w:t>
      </w:r>
      <w:r w:rsidR="00357863">
        <w:rPr>
          <w:rFonts w:ascii="Times New Roman" w:eastAsia="Times New Roman" w:hAnsi="Times New Roman" w:cs="Times New Roman"/>
          <w:sz w:val="24"/>
          <w:szCs w:val="24"/>
        </w:rPr>
        <w:t xml:space="preserve"> near lakeside settlements</w:t>
      </w:r>
      <w:r w:rsidR="00C03D31">
        <w:rPr>
          <w:rFonts w:ascii="Times New Roman" w:eastAsia="Times New Roman" w:hAnsi="Times New Roman" w:cs="Times New Roman"/>
          <w:sz w:val="24"/>
          <w:szCs w:val="24"/>
        </w:rPr>
        <w:t xml:space="preserve"> 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overarching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O</w:t>
      </w:r>
      <w:r w:rsidR="00357863">
        <w:rPr>
          <w:rFonts w:ascii="Times New Roman" w:eastAsia="Times New Roman" w:hAnsi="Times New Roman" w:cs="Times New Roman"/>
          <w:sz w:val="24"/>
          <w:szCs w:val="24"/>
        </w:rPr>
        <w:t>ur overarching goal can be divided into three main objectives:</w:t>
      </w:r>
    </w:p>
    <w:p w14:paraId="6A3CCAEE" w14:textId="0048C570"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sewage 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indicators,</w:t>
      </w:r>
    </w:p>
    <w:p w14:paraId="1B8FC010" w14:textId="5B82D7FB"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relate sewage indicators with changes in littoral benthic periphyton and macroinvertebrate community compositions, and</w:t>
      </w:r>
    </w:p>
    <w:p w14:paraId="5E6E3EB8" w14:textId="6130623F"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how food webs may restructure with increasing sewage. </w:t>
      </w:r>
    </w:p>
    <w:p w14:paraId="7BCA5B63" w14:textId="67128FDF"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as well as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In doing so, this study pairs highly specific sewage indicators with co-located biological measurements, explicitly defining areas of sewage pollution</w:t>
      </w:r>
      <w:r w:rsidR="00E61E5E">
        <w:rPr>
          <w:rFonts w:ascii="Times New Roman" w:eastAsia="Times New Roman" w:hAnsi="Times New Roman" w:cs="Times New Roman"/>
          <w:sz w:val="24"/>
          <w:szCs w:val="24"/>
        </w:rPr>
        <w:t xml:space="preserve"> and associated benthic community change</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1DB16676"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xml:space="preserve">. Pelagic sites were located 2 to 5 km offshore from each of the developed sites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the same depth (~1.25 m) and therefore the sampling locations sometimes differed in their distance from shore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12CCF195" w:rsidR="00715D55" w:rsidRDefault="007E6282"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discrete 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9F5671">
        <w:rPr>
          <w:rFonts w:ascii="Times New Roman" w:eastAsia="Times New Roman" w:hAnsi="Times New Roman" w:cs="Times New Roman"/>
          <w:sz w:val="24"/>
          <w:szCs w:val="24"/>
        </w:rPr>
        <w:t>largely hosts</w:t>
      </w:r>
      <w:r w:rsidR="00905270">
        <w:rPr>
          <w:rFonts w:ascii="Times New Roman" w:eastAsia="Times New Roman" w:hAnsi="Times New Roman" w:cs="Times New Roman"/>
          <w:sz w:val="24"/>
          <w:szCs w:val="24"/>
        </w:rPr>
        <w:t xml:space="preserve"> tourist operations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580037D6" w:rsidR="00AE6372" w:rsidRDefault="00926704"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At each sampling location</w:t>
      </w:r>
      <w:r w:rsidR="00E42EE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01527">
        <w:rPr>
          <w:rFonts w:ascii="Times New Roman" w:eastAsia="Times New Roman" w:hAnsi="Times New Roman" w:cs="Times New Roman"/>
          <w:sz w:val="24"/>
          <w:szCs w:val="24"/>
        </w:rPr>
        <w:t xml:space="preserve">we recognized that sewage indicator concentrations may be related to a sampling location’s 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lakeside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sidR="00673CE2">
        <w:rPr>
          <w:rFonts w:ascii="Times New Roman" w:eastAsia="Times New Roman" w:hAnsi="Times New Roman" w:cs="Times New Roman"/>
          <w:sz w:val="24"/>
          <w:szCs w:val="24"/>
        </w:rPr>
        <w:t>We, therefore, created the inverse distance weighted (IDW) population metric</w:t>
      </w:r>
      <w:r w:rsidR="00191FD0">
        <w:rPr>
          <w:rFonts w:ascii="Times New Roman" w:eastAsia="Times New Roman" w:hAnsi="Times New Roman" w:cs="Times New Roman"/>
          <w:sz w:val="24"/>
          <w:szCs w:val="24"/>
        </w:rPr>
        <w:t xml:space="preserve"> to compress </w:t>
      </w:r>
      <w:r w:rsidR="000D4AC4">
        <w:rPr>
          <w:rFonts w:ascii="Times New Roman" w:eastAsia="Times New Roman" w:hAnsi="Times New Roman" w:cs="Times New Roman"/>
          <w:sz w:val="24"/>
          <w:szCs w:val="24"/>
        </w:rPr>
        <w:t xml:space="preserve">into a single metric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This 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 into Baikal’s nearshore largely enters through subsurface-surface connections,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BC24F4">
        <w:rPr>
          <w:rFonts w:ascii="Times New Roman" w:eastAsia="Times New Roman" w:hAnsi="Times New Roman" w:cs="Times New Roman"/>
          <w:sz w:val="24"/>
          <w:szCs w:val="24"/>
        </w:rPr>
        <w:t>Scaling a developed site’s population density by its shoreline length also represents 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C5C6B8A" w14:textId="5303BB50" w:rsidR="00715D55"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within Google </w:t>
      </w:r>
      <w:r w:rsidR="006B4A02">
        <w:rPr>
          <w:rFonts w:ascii="Times New Roman" w:eastAsia="Times New Roman" w:hAnsi="Times New Roman" w:cs="Times New Roman"/>
          <w:sz w:val="24"/>
          <w:szCs w:val="24"/>
        </w:rPr>
        <w:lastRenderedPageBreak/>
        <w:t>Earth. Second, polygon and line geometries were downloaded locally 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so as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the formula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r w:rsidR="00D8535D">
        <w:rPr>
          <w:rFonts w:ascii="Times New Roman" w:eastAsia="Times New Roman" w:hAnsi="Times New Roman" w:cs="Times New Roman"/>
          <w:sz w:val="24"/>
          <w:szCs w:val="24"/>
        </w:rPr>
        <w:t xml:space="preserve">, where </w:t>
      </w:r>
      <w:r w:rsidR="00D8535D" w:rsidRPr="002F1C07">
        <w:rPr>
          <w:rFonts w:ascii="Times New Roman" w:eastAsia="Times New Roman" w:hAnsi="Times New Roman" w:cs="Times New Roman"/>
          <w:i/>
          <w:sz w:val="24"/>
          <w:szCs w:val="24"/>
        </w:rPr>
        <w:t>I</w:t>
      </w:r>
      <w:r w:rsidR="00D8535D">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sidR="00D8535D">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locations</w:t>
      </w:r>
      <w:r w:rsidR="002E06DD" w:rsidRPr="002F1C07">
        <w:rPr>
          <w:rFonts w:ascii="Times New Roman" w:eastAsia="Times New Roman" w:hAnsi="Times New Roman" w:cs="Times New Roman"/>
          <w:i/>
          <w:sz w:val="24"/>
          <w:szCs w:val="24"/>
        </w:rPr>
        <w:t xml:space="preserve"> </w:t>
      </w:r>
      <w:r w:rsidR="00D8535D" w:rsidRPr="002F1C07">
        <w:rPr>
          <w:rFonts w:ascii="Times New Roman" w:eastAsia="Times New Roman" w:hAnsi="Times New Roman" w:cs="Times New Roman"/>
          <w:i/>
          <w:sz w:val="24"/>
          <w:szCs w:val="24"/>
        </w:rPr>
        <w:t>j</w:t>
      </w:r>
      <w:r w:rsidR="00D8535D">
        <w:rPr>
          <w:rFonts w:ascii="Times New Roman" w:eastAsia="Times New Roman" w:hAnsi="Times New Roman" w:cs="Times New Roman"/>
          <w:sz w:val="24"/>
          <w:szCs w:val="24"/>
        </w:rPr>
        <w:t>,</w:t>
      </w:r>
      <w:r w:rsidR="00D8535D" w:rsidRPr="002F1C07">
        <w:rPr>
          <w:rFonts w:ascii="Times New Roman" w:eastAsia="Times New Roman" w:hAnsi="Times New Roman" w:cs="Times New Roman"/>
          <w:i/>
          <w:sz w:val="24"/>
          <w:szCs w:val="24"/>
        </w:rPr>
        <w:t xml:space="preserve"> P</w:t>
      </w:r>
      <w:r w:rsidR="00D8535D">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sidR="00D8535D">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sidR="00D8535D">
        <w:rPr>
          <w:rFonts w:ascii="Times New Roman" w:eastAsia="Times New Roman" w:hAnsi="Times New Roman" w:cs="Times New Roman"/>
          <w:sz w:val="24"/>
          <w:szCs w:val="24"/>
        </w:rPr>
        <w:t xml:space="preserve">, </w:t>
      </w:r>
      <w:r w:rsidR="00D8535D" w:rsidRPr="002F1C07">
        <w:rPr>
          <w:rFonts w:ascii="Times New Roman" w:eastAsia="Times New Roman" w:hAnsi="Times New Roman" w:cs="Times New Roman"/>
          <w:i/>
          <w:sz w:val="24"/>
          <w:szCs w:val="24"/>
        </w:rPr>
        <w:t>A</w:t>
      </w:r>
      <w:r w:rsidR="00D8535D">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sidR="00D8535D">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vertAlign w:val="superscript"/>
        </w:rPr>
        <w:t>2</w:t>
      </w:r>
      <w:r w:rsidR="00D8535D">
        <w:rPr>
          <w:rFonts w:ascii="Times New Roman" w:eastAsia="Times New Roman" w:hAnsi="Times New Roman" w:cs="Times New Roman"/>
          <w:sz w:val="24"/>
          <w:szCs w:val="24"/>
        </w:rPr>
        <w:t xml:space="preserve">, </w:t>
      </w:r>
      <w:r w:rsidR="00D8535D" w:rsidRPr="002F1C07">
        <w:rPr>
          <w:rFonts w:ascii="Times New Roman" w:eastAsia="Times New Roman" w:hAnsi="Times New Roman" w:cs="Times New Roman"/>
          <w:i/>
          <w:sz w:val="24"/>
          <w:szCs w:val="24"/>
        </w:rPr>
        <w:t xml:space="preserve">L </w:t>
      </w:r>
      <w:r w:rsidR="00D8535D">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rPr>
        <w:t xml:space="preserve">, and </w:t>
      </w:r>
      <w:r w:rsidR="00D8535D" w:rsidRPr="002F1C07">
        <w:rPr>
          <w:rFonts w:ascii="Times New Roman" w:eastAsia="Times New Roman" w:hAnsi="Times New Roman" w:cs="Times New Roman"/>
          <w:i/>
          <w:sz w:val="24"/>
          <w:szCs w:val="24"/>
        </w:rPr>
        <w:t>D</w:t>
      </w:r>
      <w:r w:rsidR="00D8535D">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sidR="00D8535D">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D8535D">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thus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sidR="00D8535D">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6E2204E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approximately 150 mL glass jars that had been rinsed three times with water from the sampling location. Samples were collected in duplicates and immediately frozen at -20°C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310E6D8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Concentrations are reported in mg/L.</w:t>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were collected by passing up to 150 mL through 25 </w:t>
      </w:r>
      <w:r>
        <w:rPr>
          <w:rFonts w:ascii="Times New Roman" w:eastAsia="Times New Roman" w:hAnsi="Times New Roman" w:cs="Times New Roman"/>
          <w:sz w:val="24"/>
          <w:szCs w:val="24"/>
        </w:rPr>
        <w:lastRenderedPageBreak/>
        <w:t xml:space="preserve">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2E2CE4B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Water samples 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31623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5C137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from </w:t>
      </w:r>
      <w:r>
        <w:rPr>
          <w:rFonts w:ascii="Times New Roman" w:eastAsia="Times New Roman" w:hAnsi="Times New Roman" w:cs="Times New Roman"/>
          <w:sz w:val="24"/>
          <w:szCs w:val="24"/>
        </w:rPr>
        <w:t xml:space="preserve">the midpoint depth 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1D533CE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 mm 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contamination. Upon completion, filters were allowed to dry under vacuum pressure and then stored in 50 mm petri 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B5463D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stereoscope,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29FC4A0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stored in plastic scintillation vials and preserved with </w:t>
      </w:r>
      <w:proofErr w:type="spellStart"/>
      <w:r>
        <w:rPr>
          <w:rFonts w:ascii="Times New Roman" w:eastAsia="Times New Roman" w:hAnsi="Times New Roman" w:cs="Times New Roman"/>
          <w:sz w:val="24"/>
          <w:szCs w:val="24"/>
        </w:rPr>
        <w:t>Lugol’s</w:t>
      </w:r>
      <w:proofErr w:type="spellEnd"/>
      <w:r>
        <w:rPr>
          <w:rFonts w:ascii="Times New Roman" w:eastAsia="Times New Roman" w:hAnsi="Times New Roman" w:cs="Times New Roman"/>
          <w:sz w:val="24"/>
          <w:szCs w:val="24"/>
        </w:rPr>
        <w:t xml:space="preserve"> solution. Remaining periphyton from the site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772AACD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For </w:t>
      </w:r>
      <w:r w:rsidR="007D3AD5">
        <w:rPr>
          <w:rFonts w:ascii="Times New Roman" w:eastAsia="Times New Roman" w:hAnsi="Times New Roman" w:cs="Times New Roman"/>
          <w:sz w:val="24"/>
          <w:szCs w:val="24"/>
        </w:rPr>
        <w:t>the entire</w:t>
      </w:r>
      <w:r>
        <w:rPr>
          <w:rFonts w:ascii="Times New Roman" w:eastAsia="Times New Roman" w:hAnsi="Times New Roman" w:cs="Times New Roman"/>
          <w:sz w:val="24"/>
          <w:szCs w:val="24"/>
        </w:rPr>
        <w:t xml:space="preserve"> aliquot, cells,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In instances where 300 cells were counted prior to completing the aliquot, the entire aliquot was still counted. </w:t>
      </w:r>
      <w:r>
        <w:rPr>
          <w:rFonts w:ascii="Times New Roman" w:eastAsia="Times New Roman" w:hAnsi="Times New Roman" w:cs="Times New Roman"/>
          <w:sz w:val="24"/>
          <w:szCs w:val="24"/>
        </w:rPr>
        <w:t>Taxa were classified in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so as to capture overarching 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(as a whole group),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8BBC01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w:t>
      </w:r>
      <w:r>
        <w:rPr>
          <w:rFonts w:ascii="Times New Roman" w:eastAsia="Times New Roman" w:hAnsi="Times New Roman" w:cs="Times New Roman"/>
          <w:sz w:val="24"/>
          <w:szCs w:val="24"/>
        </w:rPr>
        <w:lastRenderedPageBreak/>
        <w:t xml:space="preserve">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net and placed in glass jars with 40% ethanol</w:t>
      </w:r>
      <w:r w:rsidR="00E8665D">
        <w:rPr>
          <w:rFonts w:ascii="Times New Roman" w:eastAsia="Times New Roman" w:hAnsi="Times New Roman" w:cs="Times New Roman"/>
          <w:sz w:val="24"/>
          <w:szCs w:val="24"/>
        </w:rPr>
        <w:t xml:space="preserve"> (vodka; which was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553D3DC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09268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3912466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well 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70696D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~48</w:t>
      </w:r>
      <w:r w:rsidR="000D6577">
        <w:rPr>
          <w:rFonts w:ascii="Times New Roman" w:eastAsia="Times New Roman" w:hAnsi="Times New Roman" w:cs="Times New Roman"/>
          <w:color w:val="212121"/>
          <w:sz w:val="24"/>
          <w:szCs w:val="24"/>
          <w:highlight w:val="white"/>
        </w:rPr>
        <w:t xml:space="preserve"> 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1D907A0"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00C2964B"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r w:rsidR="002C5913">
        <w:rPr>
          <w:rFonts w:ascii="Times New Roman" w:eastAsia="Times New Roman" w:hAnsi="Times New Roman" w:cs="Times New Roman"/>
          <w:sz w:val="24"/>
          <w:szCs w:val="24"/>
        </w:rPr>
        <w:t xml:space="preserve">replicates where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so as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w:t>
      </w:r>
      <w:r w:rsidR="000D6577">
        <w:rPr>
          <w:rFonts w:ascii="Times New Roman" w:eastAsia="Times New Roman" w:hAnsi="Times New Roman" w:cs="Times New Roman"/>
          <w:sz w:val="24"/>
          <w:szCs w:val="24"/>
        </w:rPr>
        <w:lastRenderedPageBreak/>
        <w:t>proportions, whereas invertebrate abundances were 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(WSS)</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06E56234"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analysis on these 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four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31DCD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5740695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0.15, </w:t>
      </w:r>
      <w:r>
        <w:rPr>
          <w:rFonts w:ascii="Times New Roman" w:eastAsia="Times New Roman" w:hAnsi="Times New Roman" w:cs="Times New Roman"/>
          <w:sz w:val="24"/>
          <w:szCs w:val="24"/>
        </w:rPr>
        <w:t>p = 0.1</w:t>
      </w:r>
      <w:r w:rsidR="001C6CA2">
        <w:rPr>
          <w:rFonts w:ascii="Times New Roman" w:eastAsia="Times New Roman" w:hAnsi="Times New Roman" w:cs="Times New Roman"/>
          <w:sz w:val="24"/>
          <w:szCs w:val="24"/>
        </w:rPr>
        <w:t>2</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Phosphate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0.20, </w:t>
      </w:r>
      <w:r>
        <w:rPr>
          <w:rFonts w:ascii="Times New Roman" w:eastAsia="Times New Roman" w:hAnsi="Times New Roman" w:cs="Times New Roman"/>
          <w:sz w:val="24"/>
          <w:szCs w:val="24"/>
        </w:rPr>
        <w:t>p = 0.0</w:t>
      </w:r>
      <w:r w:rsidR="001C6CA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31</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1713D2FB"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periphyton community 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higher</w:t>
      </w:r>
      <w:proofErr w:type="spellEnd"/>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3B0345C8"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four 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two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(p = </w:t>
      </w:r>
      <w:r w:rsidR="00D8535D">
        <w:rPr>
          <w:rFonts w:ascii="Times New Roman" w:eastAsia="Times New Roman" w:hAnsi="Times New Roman" w:cs="Times New Roman"/>
          <w:sz w:val="24"/>
          <w:szCs w:val="24"/>
        </w:rPr>
        <w:lastRenderedPageBreak/>
        <w:t xml:space="preserve">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3C2690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no grazer groups deviated</w:t>
      </w:r>
      <w:r w:rsidR="00381463">
        <w:rPr>
          <w:rFonts w:ascii="Times New Roman" w:eastAsia="Times New Roman" w:hAnsi="Times New Roman" w:cs="Times New Roman"/>
          <w:sz w:val="24"/>
          <w:szCs w:val="24"/>
        </w:rPr>
        <w:t xml:space="preserve"> greater</w:t>
      </w:r>
      <w:r w:rsidR="002927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381463">
        <w:rPr>
          <w:rFonts w:ascii="Times New Roman" w:eastAsia="Times New Roman" w:hAnsi="Times New Roman" w:cs="Times New Roman"/>
          <w:sz w:val="24"/>
          <w:szCs w:val="24"/>
        </w:rPr>
        <w:t xml:space="preserve"> than the lowest grazer</w:t>
      </w:r>
      <w:r w:rsidR="00381463" w:rsidRPr="00381463">
        <w:rPr>
          <w:rFonts w:ascii="Times New Roman" w:eastAsia="Times New Roman" w:hAnsi="Times New Roman" w:cs="Times New Roman"/>
          <w:sz w:val="24"/>
          <w:szCs w:val="24"/>
        </w:rPr>
        <w:t xml:space="preserve"> </w:t>
      </w:r>
      <w:r w:rsidR="00381463">
        <w:rPr>
          <w:rFonts w:ascii="Times New Roman" w:eastAsia="Times New Roman" w:hAnsi="Times New Roman" w:cs="Times New Roman"/>
          <w:sz w:val="24"/>
          <w:szCs w:val="24"/>
        </w:rPr>
        <w:t>δ</w:t>
      </w:r>
      <w:r w:rsidR="00381463">
        <w:rPr>
          <w:rFonts w:ascii="Times New Roman" w:eastAsia="Times New Roman" w:hAnsi="Times New Roman" w:cs="Times New Roman"/>
          <w:sz w:val="24"/>
          <w:szCs w:val="24"/>
          <w:vertAlign w:val="superscript"/>
        </w:rPr>
        <w:t>15</w:t>
      </w:r>
      <w:r w:rsidR="00381463">
        <w:rPr>
          <w:rFonts w:ascii="Times New Roman" w:eastAsia="Times New Roman" w:hAnsi="Times New Roman" w:cs="Times New Roman"/>
          <w:sz w:val="24"/>
          <w:szCs w:val="24"/>
        </w:rPr>
        <w:t>N values</w:t>
      </w:r>
      <w:r>
        <w:rPr>
          <w:rFonts w:ascii="Times New Roman" w:eastAsia="Times New Roman" w:hAnsi="Times New Roman" w:cs="Times New Roman"/>
          <w:sz w:val="24"/>
          <w:szCs w:val="24"/>
        </w:rPr>
        <w:t xml:space="preserve">,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3DD9116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4F6AA7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Amphipods’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2A6DF38E"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191FD0">
        <w:rPr>
          <w:rFonts w:ascii="Times New Roman" w:eastAsia="Times New Roman" w:hAnsi="Times New Roman" w:cs="Times New Roman"/>
          <w:sz w:val="24"/>
          <w:szCs w:val="24"/>
        </w:rPr>
        <w:t xml:space="preserve">suggestions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a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38B77FA5" w:rsidR="00E63B3C" w:rsidRDefault="00D8535D"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 xml:space="preserve">N, and to some degree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 xml:space="preserve">gradients </w:t>
      </w:r>
      <w:r w:rsidR="00381463">
        <w:rPr>
          <w:rFonts w:ascii="Times New Roman" w:eastAsia="Times New Roman" w:hAnsi="Times New Roman" w:cs="Times New Roman"/>
          <w:sz w:val="24"/>
          <w:szCs w:val="24"/>
        </w:rPr>
        <w:t>from highly</w:t>
      </w:r>
      <w:r>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Pr>
          <w:rFonts w:ascii="Times New Roman" w:eastAsia="Times New Roman" w:hAnsi="Times New Roman" w:cs="Times New Roman"/>
          <w:sz w:val="24"/>
          <w:szCs w:val="24"/>
        </w:rPr>
        <w:t xml:space="preserve"> is largely void 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consistently sewage-associated micropollutants,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 xml:space="preserve">N proved necessary for defining sewage gradients. </w:t>
      </w:r>
      <w:r w:rsidR="002C1737">
        <w:rPr>
          <w:rFonts w:ascii="Times New Roman" w:eastAsia="Times New Roman" w:hAnsi="Times New Roman" w:cs="Times New Roman"/>
          <w:sz w:val="24"/>
          <w:szCs w:val="24"/>
        </w:rPr>
        <w:t xml:space="preserve">The use of nutrients alone as indicators would not reveal sewage pollution. </w:t>
      </w:r>
      <w:r w:rsidR="000E7380">
        <w:rPr>
          <w:rFonts w:ascii="Times New Roman" w:eastAsia="Times New Roman" w:hAnsi="Times New Roman" w:cs="Times New Roman"/>
          <w:sz w:val="24"/>
          <w:szCs w:val="24"/>
        </w:rPr>
        <w:t xml:space="preserve">Perhaps most significantly for Lake Baikal, </w:t>
      </w:r>
      <w:r w:rsidR="000E7380">
        <w:rPr>
          <w:rFonts w:ascii="Times New Roman" w:eastAsia="Times New Roman" w:hAnsi="Times New Roman" w:cs="Times New Roman"/>
          <w:sz w:val="24"/>
          <w:szCs w:val="24"/>
        </w:rPr>
        <w:lastRenderedPageBreak/>
        <w:t>m</w:t>
      </w:r>
      <w:r w:rsidR="00FC5D9D">
        <w:rPr>
          <w:rFonts w:ascii="Times New Roman" w:eastAsia="Times New Roman" w:hAnsi="Times New Roman" w:cs="Times New Roman"/>
          <w:sz w:val="24"/>
          <w:szCs w:val="24"/>
        </w:rPr>
        <w:t xml:space="preserve">elting permafrost </w:t>
      </w:r>
      <w:r w:rsidR="00D53E5C">
        <w:rPr>
          <w:rFonts w:ascii="Times New Roman" w:eastAsia="Times New Roman" w:hAnsi="Times New Roman" w:cs="Times New Roman"/>
          <w:sz w:val="24"/>
          <w:szCs w:val="24"/>
        </w:rPr>
        <w:t xml:space="preserve">within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 xml:space="preserve">and </w:t>
      </w:r>
      <w:r w:rsidR="000E7380">
        <w:rPr>
          <w:rFonts w:ascii="Times New Roman" w:eastAsia="Times New Roman" w:hAnsi="Times New Roman" w:cs="Times New Roman"/>
          <w:sz w:val="24"/>
          <w:szCs w:val="24"/>
        </w:rPr>
        <w:t xml:space="preserve">that of </w:t>
      </w:r>
      <w:r w:rsidR="00D53E5C">
        <w:rPr>
          <w:rFonts w:ascii="Times New Roman" w:eastAsia="Times New Roman" w:hAnsi="Times New Roman" w:cs="Times New Roman"/>
          <w:sz w:val="24"/>
          <w:szCs w:val="24"/>
        </w:rPr>
        <w:t>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Nutrients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of nitrogen (Galloway et al., 2004) and phosphorus (Stoddard et al., 2016), as well as changing terrestrial plant communities (Moran et al., 2012). </w:t>
      </w:r>
      <w:r w:rsidR="000E7380">
        <w:rPr>
          <w:rFonts w:ascii="Times New Roman" w:eastAsia="Times New Roman" w:hAnsi="Times New Roman" w:cs="Times New Roman"/>
          <w:sz w:val="24"/>
          <w:szCs w:val="24"/>
        </w:rPr>
        <w:t xml:space="preserve"> </w:t>
      </w:r>
      <w:r w:rsidR="00765F65">
        <w:rPr>
          <w:rFonts w:ascii="Times New Roman" w:eastAsia="Times New Roman" w:hAnsi="Times New Roman" w:cs="Times New Roman"/>
          <w:sz w:val="24"/>
          <w:szCs w:val="24"/>
        </w:rPr>
        <w:t>T</w:t>
      </w:r>
      <w:r w:rsidR="000E7380">
        <w:rPr>
          <w:rFonts w:ascii="Times New Roman" w:eastAsia="Times New Roman" w:hAnsi="Times New Roman" w:cs="Times New Roman"/>
          <w:sz w:val="24"/>
          <w:szCs w:val="24"/>
        </w:rPr>
        <w:t>o the best of our knowledge</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yet major factors 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proofErr w:type="spellStart"/>
      <w:r w:rsidR="00765F65">
        <w:rPr>
          <w:rFonts w:ascii="Times New Roman" w:eastAsia="Times New Roman" w:hAnsi="Times New Roman" w:cs="Times New Roman"/>
          <w:sz w:val="24"/>
          <w:szCs w:val="24"/>
        </w:rPr>
        <w:t>Ozersky</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323AA011" w14:textId="6A59B64E" w:rsidR="00224E1E"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study is the first to detect PPCPs within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Our </w:t>
      </w:r>
      <w:r w:rsidR="00BE27F7">
        <w:rPr>
          <w:rFonts w:ascii="Times New Roman" w:eastAsia="Times New Roman" w:hAnsi="Times New Roman" w:cs="Times New Roman"/>
          <w:sz w:val="24"/>
          <w:szCs w:val="24"/>
        </w:rPr>
        <w:t>data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demonstrate that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224E1E">
        <w:rPr>
          <w:rFonts w:ascii="Times New Roman" w:eastAsia="Times New Roman" w:hAnsi="Times New Roman" w:cs="Times New Roman"/>
          <w:sz w:val="24"/>
          <w:szCs w:val="24"/>
        </w:rPr>
        <w:t>are present</w:t>
      </w:r>
      <w:r w:rsidR="00FE35CB">
        <w:rPr>
          <w:rFonts w:ascii="Times New Roman" w:eastAsia="Times New Roman" w:hAnsi="Times New Roman" w:cs="Times New Roman"/>
          <w:sz w:val="24"/>
          <w:szCs w:val="24"/>
        </w:rPr>
        <w:t xml:space="preserve"> nearshore and undetectable offshore</w:t>
      </w:r>
      <w:r w:rsidR="00BE27F7">
        <w:rPr>
          <w:rFonts w:ascii="Times New Roman" w:eastAsia="Times New Roman" w:hAnsi="Times New Roman" w:cs="Times New Roman"/>
          <w:sz w:val="24"/>
          <w:szCs w:val="24"/>
        </w:rPr>
        <w:t>, suggesting that sewage inputs in Baikal indeed 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685D80">
        <w:rPr>
          <w:rFonts w:ascii="Times New Roman" w:eastAsia="Times New Roman" w:hAnsi="Times New Roman" w:cs="Times New Roman"/>
          <w:sz w:val="24"/>
          <w:szCs w:val="24"/>
        </w:rPr>
        <w:t>Whil</w:t>
      </w:r>
      <w:r w:rsidR="009007E8">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7E0849">
        <w:rPr>
          <w:rFonts w:ascii="Times New Roman" w:hAnsi="Times New Roman" w:cs="Times New Roman"/>
          <w:sz w:val="24"/>
        </w:rPr>
        <w:t>(Kolpin et al. 2002; Focazio et al. 2008; Rosi et al. 2013)</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within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With longer hydraulic residence times, PPCP distributions in lentic systems may differ from lotic environments, as pollutants within lakes may be more prone to accumulate within the nearshore before diffusing to undetectable concentrations offshore.</w:t>
      </w:r>
      <w:r w:rsidR="008A7669">
        <w:rPr>
          <w:rFonts w:ascii="Times New Roman" w:eastAsia="Times New Roman" w:hAnsi="Times New Roman" w:cs="Times New Roman"/>
          <w:sz w:val="24"/>
          <w:szCs w:val="24"/>
        </w:rPr>
        <w:t xml:space="preserve"> </w:t>
      </w:r>
    </w:p>
    <w:p w14:paraId="44DD3027" w14:textId="77777777" w:rsidR="00224E1E" w:rsidRDefault="00224E1E" w:rsidP="00383BCD">
      <w:pPr>
        <w:rPr>
          <w:rFonts w:ascii="Times New Roman" w:eastAsia="Times New Roman" w:hAnsi="Times New Roman" w:cs="Times New Roman"/>
          <w:sz w:val="24"/>
          <w:szCs w:val="24"/>
        </w:rPr>
      </w:pPr>
    </w:p>
    <w:p w14:paraId="16E6AEB6" w14:textId="1F1A6608" w:rsidR="00E63B3C" w:rsidRDefault="00E11A7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224E1E">
        <w:rPr>
          <w:rFonts w:ascii="Times New Roman" w:eastAsia="Times New Roman" w:hAnsi="Times New Roman" w:cs="Times New Roman"/>
          <w:sz w:val="24"/>
          <w:szCs w:val="24"/>
        </w:rPr>
        <w:t>hile we use PPCPs as indicators of sewage, w</w:t>
      </w:r>
      <w:r>
        <w:rPr>
          <w:rFonts w:ascii="Times New Roman" w:eastAsia="Times New Roman" w:hAnsi="Times New Roman" w:cs="Times New Roman"/>
          <w:sz w:val="24"/>
          <w:szCs w:val="24"/>
        </w:rPr>
        <w:t>e do not, however, address how the PPCPs themselves may</w:t>
      </w:r>
      <w:r w:rsidR="00224E1E">
        <w:rPr>
          <w:rFonts w:ascii="Times New Roman" w:eastAsia="Times New Roman" w:hAnsi="Times New Roman" w:cs="Times New Roman"/>
          <w:sz w:val="24"/>
          <w:szCs w:val="24"/>
        </w:rPr>
        <w:t xml:space="preserve"> operate as toxicants themselves and thus</w:t>
      </w:r>
      <w:r>
        <w:rPr>
          <w:rFonts w:ascii="Times New Roman" w:eastAsia="Times New Roman" w:hAnsi="Times New Roman" w:cs="Times New Roman"/>
          <w:sz w:val="24"/>
          <w:szCs w:val="24"/>
        </w:rPr>
        <w:t xml:space="preserve">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physiological (e.g., Del Rosario et al., 2015) and behavioral (e.g., </w:t>
      </w:r>
      <w:proofErr w:type="spellStart"/>
      <w:r w:rsidR="00F979A0">
        <w:rPr>
          <w:rFonts w:ascii="Times New Roman" w:eastAsia="Times New Roman" w:hAnsi="Times New Roman" w:cs="Times New Roman"/>
          <w:sz w:val="24"/>
          <w:szCs w:val="24"/>
        </w:rPr>
        <w:t>Brodin</w:t>
      </w:r>
      <w:proofErr w:type="spellEnd"/>
      <w:r w:rsidR="00F979A0">
        <w:rPr>
          <w:rFonts w:ascii="Times New Roman" w:eastAsia="Times New Roman" w:hAnsi="Times New Roman" w:cs="Times New Roman"/>
          <w:sz w:val="24"/>
          <w:szCs w:val="24"/>
        </w:rPr>
        <w:t xml:space="preserve"> et al. 2013; </w:t>
      </w:r>
      <w:proofErr w:type="spellStart"/>
      <w:r w:rsidR="00F979A0" w:rsidRPr="00F979A0">
        <w:rPr>
          <w:rFonts w:ascii="Times New Roman" w:eastAsia="Times New Roman" w:hAnsi="Times New Roman" w:cs="Times New Roman"/>
          <w:sz w:val="24"/>
          <w:szCs w:val="24"/>
        </w:rPr>
        <w:t>Dzieweczynski</w:t>
      </w:r>
      <w:proofErr w:type="spellEnd"/>
      <w:r w:rsidR="00F979A0">
        <w:rPr>
          <w:rFonts w:ascii="Times New Roman" w:eastAsia="Times New Roman" w:hAnsi="Times New Roman" w:cs="Times New Roman"/>
          <w:sz w:val="24"/>
          <w:szCs w:val="24"/>
        </w:rPr>
        <w:t xml:space="preserve"> et al., 2016) to food web</w:t>
      </w:r>
      <w:r w:rsidR="003E64B9">
        <w:rPr>
          <w:rFonts w:ascii="Times New Roman" w:eastAsia="Times New Roman" w:hAnsi="Times New Roman" w:cs="Times New Roman"/>
          <w:sz w:val="24"/>
          <w:szCs w:val="24"/>
        </w:rPr>
        <w:t>s</w:t>
      </w:r>
      <w:r w:rsidR="00F979A0">
        <w:rPr>
          <w:rFonts w:ascii="Times New Roman" w:eastAsia="Times New Roman" w:hAnsi="Times New Roman" w:cs="Times New Roman"/>
          <w:sz w:val="24"/>
          <w:szCs w:val="24"/>
        </w:rPr>
        <w:t xml:space="preserve"> (e.g., </w:t>
      </w:r>
      <w:proofErr w:type="spellStart"/>
      <w:r w:rsidR="00F979A0">
        <w:rPr>
          <w:rFonts w:ascii="Times New Roman" w:eastAsia="Times New Roman" w:hAnsi="Times New Roman" w:cs="Times New Roman"/>
          <w:sz w:val="24"/>
          <w:szCs w:val="24"/>
        </w:rPr>
        <w:t>Lagesson</w:t>
      </w:r>
      <w:proofErr w:type="spellEnd"/>
      <w:r w:rsidR="00F979A0">
        <w:rPr>
          <w:rFonts w:ascii="Times New Roman" w:eastAsia="Times New Roman" w:hAnsi="Times New Roman" w:cs="Times New Roman"/>
          <w:sz w:val="24"/>
          <w:szCs w:val="24"/>
        </w:rPr>
        <w:t xml:space="preserve"> et al., 2016; Richmond et al., 2018) and ecosystem</w:t>
      </w:r>
      <w:r w:rsidR="003E64B9">
        <w:rPr>
          <w:rFonts w:ascii="Times New Roman" w:eastAsia="Times New Roman" w:hAnsi="Times New Roman" w:cs="Times New Roman"/>
          <w:sz w:val="24"/>
          <w:szCs w:val="24"/>
        </w:rPr>
        <w:t>s</w:t>
      </w:r>
      <w:r w:rsidR="00F979A0">
        <w:rPr>
          <w:rFonts w:ascii="Times New Roman" w:eastAsia="Times New Roman" w:hAnsi="Times New Roman" w:cs="Times New Roman"/>
          <w:sz w:val="24"/>
          <w:szCs w:val="24"/>
        </w:rPr>
        <w:t xml:space="preserve"> (e.g., </w:t>
      </w:r>
      <w:proofErr w:type="spellStart"/>
      <w:r w:rsidR="00F979A0">
        <w:rPr>
          <w:rFonts w:ascii="Times New Roman" w:eastAsia="Times New Roman" w:hAnsi="Times New Roman" w:cs="Times New Roman"/>
          <w:sz w:val="24"/>
          <w:szCs w:val="24"/>
        </w:rPr>
        <w:t>Rosi</w:t>
      </w:r>
      <w:proofErr w:type="spellEnd"/>
      <w:r w:rsidR="00F979A0">
        <w:rPr>
          <w:rFonts w:ascii="Times New Roman" w:eastAsia="Times New Roman" w:hAnsi="Times New Roman" w:cs="Times New Roman"/>
          <w:sz w:val="24"/>
          <w:szCs w:val="24"/>
        </w:rPr>
        <w:t xml:space="preserve">-Marshal et al., 2013). Although our study </w:t>
      </w:r>
      <w:r w:rsidR="00224E1E">
        <w:rPr>
          <w:rFonts w:ascii="Times New Roman" w:eastAsia="Times New Roman" w:hAnsi="Times New Roman" w:cs="Times New Roman"/>
          <w:sz w:val="24"/>
          <w:szCs w:val="24"/>
        </w:rPr>
        <w:t>was not designed to evaluate</w:t>
      </w:r>
      <w:r w:rsidR="003E20DA">
        <w:rPr>
          <w:rFonts w:ascii="Times New Roman" w:eastAsia="Times New Roman" w:hAnsi="Times New Roman" w:cs="Times New Roman"/>
          <w:sz w:val="24"/>
          <w:szCs w:val="24"/>
        </w:rPr>
        <w:t xml:space="preserve"> the toxicological effects</w:t>
      </w:r>
      <w:r w:rsidR="00F979A0">
        <w:rPr>
          <w:rFonts w:ascii="Times New Roman" w:eastAsia="Times New Roman" w:hAnsi="Times New Roman" w:cs="Times New Roman"/>
          <w:sz w:val="24"/>
          <w:szCs w:val="24"/>
        </w:rPr>
        <w:t xml:space="preserve"> of PPCPs themselves, our data do demonstrate that PPCPs can concentrate</w:t>
      </w:r>
      <w:r w:rsidR="00874EDD">
        <w:rPr>
          <w:rFonts w:ascii="Times New Roman" w:eastAsia="Times New Roman" w:hAnsi="Times New Roman" w:cs="Times New Roman"/>
          <w:sz w:val="24"/>
          <w:szCs w:val="24"/>
        </w:rPr>
        <w:t xml:space="preserve"> within Baikal’s nearshore area to </w:t>
      </w:r>
      <w:r w:rsidR="00FE35CB">
        <w:rPr>
          <w:rFonts w:ascii="Times New Roman" w:eastAsia="Times New Roman" w:hAnsi="Times New Roman" w:cs="Times New Roman"/>
          <w:sz w:val="24"/>
          <w:szCs w:val="24"/>
        </w:rPr>
        <w:t>ecologically deleterious concentrations</w:t>
      </w:r>
      <w:r w:rsidR="00874EDD">
        <w:rPr>
          <w:rFonts w:ascii="Times New Roman" w:eastAsia="Times New Roman" w:hAnsi="Times New Roman" w:cs="Times New Roman"/>
          <w:sz w:val="24"/>
          <w:szCs w:val="24"/>
        </w:rPr>
        <w:t xml:space="preserve">. </w:t>
      </w:r>
      <w:r w:rsidR="003E20DA">
        <w:rPr>
          <w:rFonts w:ascii="Times New Roman" w:eastAsia="Times New Roman" w:hAnsi="Times New Roman" w:cs="Times New Roman"/>
          <w:sz w:val="24"/>
          <w:szCs w:val="24"/>
        </w:rPr>
        <w:t>Thus</w:t>
      </w:r>
      <w:r w:rsidR="003E64B9">
        <w:rPr>
          <w:rFonts w:ascii="Times New Roman" w:eastAsia="Times New Roman" w:hAnsi="Times New Roman" w:cs="Times New Roman"/>
          <w:sz w:val="24"/>
          <w:szCs w:val="24"/>
        </w:rPr>
        <w:t>,</w:t>
      </w:r>
      <w:r w:rsidR="003E20DA">
        <w:rPr>
          <w:rFonts w:ascii="Times New Roman" w:eastAsia="Times New Roman" w:hAnsi="Times New Roman" w:cs="Times New Roman"/>
          <w:sz w:val="24"/>
          <w:szCs w:val="24"/>
        </w:rPr>
        <w:t xml:space="preserve"> future studies could usefully address toxicological effects of PPCPs on nearshore Baikal biota.</w:t>
      </w:r>
    </w:p>
    <w:p w14:paraId="42124162" w14:textId="77777777" w:rsidR="00685D80" w:rsidRDefault="00685D80" w:rsidP="00383BCD">
      <w:pPr>
        <w:rPr>
          <w:rFonts w:ascii="Times New Roman" w:eastAsia="Times New Roman" w:hAnsi="Times New Roman" w:cs="Times New Roman"/>
          <w:sz w:val="24"/>
          <w:szCs w:val="24"/>
        </w:rPr>
      </w:pPr>
    </w:p>
    <w:p w14:paraId="6FFBC599" w14:textId="63B94747"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PPCP 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concentrations, microplastics at our sampling sites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carry the caveat that plastics may originate from non-sewage sources, such as agriculture (Steinmetz et al., 2016). </w:t>
      </w:r>
      <w:r>
        <w:rPr>
          <w:rFonts w:ascii="Times New Roman" w:eastAsia="Times New Roman" w:hAnsi="Times New Roman" w:cs="Times New Roman"/>
          <w:sz w:val="24"/>
          <w:szCs w:val="24"/>
        </w:rPr>
        <w:t xml:space="preserve">Unlike PPCPs’, microplastics indicate accumulated pollution because of their slow degradation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(Brandon et al. 2016)</w:t>
      </w:r>
      <w:r>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Unlike microplastics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Given that offshore concentrations were comparable to </w:t>
      </w:r>
      <w:r w:rsidR="003D0265">
        <w:rPr>
          <w:rFonts w:ascii="Times New Roman" w:eastAsia="Times New Roman" w:hAnsi="Times New Roman" w:cs="Times New Roman"/>
          <w:sz w:val="24"/>
          <w:szCs w:val="24"/>
        </w:rPr>
        <w:lastRenderedPageBreak/>
        <w:t>the nearshore, m</w:t>
      </w:r>
      <w:r w:rsidR="00FE35CB">
        <w:rPr>
          <w:rFonts w:ascii="Times New Roman" w:eastAsia="Times New Roman" w:hAnsi="Times New Roman" w:cs="Times New Roman"/>
          <w:sz w:val="24"/>
          <w:szCs w:val="24"/>
        </w:rPr>
        <w:t>icroplastics</w:t>
      </w:r>
      <w:r>
        <w:rPr>
          <w:rFonts w:ascii="Times New Roman" w:eastAsia="Times New Roman" w:hAnsi="Times New Roman" w:cs="Times New Roman"/>
          <w:sz w:val="24"/>
          <w:szCs w:val="24"/>
        </w:rPr>
        <w:t xml:space="preserve"> may be useful in</w:t>
      </w:r>
      <w:r w:rsidR="003D0265">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 xml:space="preserve">calculating a time-integrated sewage signal.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2F9527D0"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66DF26D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concentrations 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1E6425">
        <w:rPr>
          <w:rFonts w:ascii="Times New Roman" w:eastAsia="Times New Roman" w:hAnsi="Times New Roman" w:cs="Times New Roman"/>
          <w:sz w:val="24"/>
          <w:szCs w:val="24"/>
          <w:highlight w:val="white"/>
        </w:rPr>
        <w:instrText xml:space="preserve"> ADDIN ZOTERO_ITEM CSL_CITATION {"citationID":"wEWua6Tz","properties":{"formattedCitation":"(Wayland and Hobson 2001)","plainCitation":"(Wayland and Hobson 2001)","noteIndex":0},"citationItems":[{"id":3798,"uris":["http://zotero.org/users/2645460/items/6YQ3JE2Q"],"uri":["http://zotero.org/users/2645460/items/6YQ3JE2Q"],"itemData":{"id":3798,"type":"article-journal","abstract":"We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1E6425" w:rsidRPr="00094852">
        <w:rPr>
          <w:rFonts w:ascii="Times New Roman" w:hAnsi="Times New Roman" w:cs="Times New Roman"/>
          <w:sz w:val="24"/>
          <w:highlight w:val="white"/>
        </w:rPr>
        <w:t>(Wayland and Hobson 2001)</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4A1C07">
        <w:rPr>
          <w:rFonts w:ascii="Times New Roman" w:eastAsia="Times New Roman" w:hAnsi="Times New Roman" w:cs="Times New Roman"/>
          <w:sz w:val="24"/>
          <w:szCs w:val="24"/>
          <w:highlight w:val="white"/>
        </w:rPr>
        <w:t xml:space="preserve">become enhanced </w:t>
      </w:r>
      <w:r w:rsidR="001E6425">
        <w:rPr>
          <w:rFonts w:ascii="Times New Roman" w:eastAsia="Times New Roman" w:hAnsi="Times New Roman" w:cs="Times New Roman"/>
          <w:sz w:val="24"/>
          <w:szCs w:val="24"/>
          <w:highlight w:val="white"/>
        </w:rPr>
        <w:t xml:space="preserve">within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gradients of 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concentrations tend to be highest near the source of sewage pollution and 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{"citationID":"mQek9zxI","properties":{"formattedCitation":"(Rosenberger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in areas of sewage pollution mirror observations from other aquatic systems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{"citationID":"mea74N9p","properties":{"formattedCitation":"(Rosenberger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which could 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57A0C2C4"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 however, suggested that</w:t>
      </w:r>
      <w:r w:rsidR="00030898">
        <w:rPr>
          <w:rFonts w:ascii="Times New Roman" w:eastAsia="Times New Roman" w:hAnsi="Times New Roman" w:cs="Times New Roman"/>
          <w:sz w:val="24"/>
          <w:szCs w:val="24"/>
        </w:rPr>
        <w:t xml:space="preserve"> changing 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nutritional quality</w:t>
      </w:r>
      <w:r w:rsidR="00456A8D">
        <w:rPr>
          <w:rFonts w:ascii="Times New Roman" w:eastAsia="Times New Roman" w:hAnsi="Times New Roman" w:cs="Times New Roman"/>
          <w:sz w:val="24"/>
          <w:szCs w:val="24"/>
        </w:rPr>
        <w:t xml:space="preserve"> of the benthic algal resources across the pollution gradient</w:t>
      </w:r>
      <w:r w:rsidR="007E0747">
        <w:rPr>
          <w:rFonts w:ascii="Times New Roman" w:eastAsia="Times New Roman" w:hAnsi="Times New Roman" w:cs="Times New Roman"/>
          <w:sz w:val="24"/>
          <w:szCs w:val="24"/>
        </w:rPr>
        <w:t xml:space="preserve">. Periphyton </w:t>
      </w:r>
      <w:r w:rsidR="007E0747">
        <w:rPr>
          <w:rFonts w:ascii="Times New Roman" w:eastAsia="Times New Roman" w:hAnsi="Times New Roman" w:cs="Times New Roman"/>
          <w:sz w:val="24"/>
          <w:szCs w:val="24"/>
        </w:rPr>
        <w:lastRenderedPageBreak/>
        <w:t xml:space="preserve">essential fatty acid profiles from sites with higher sewage pollution had higher levels of 18:3ω3 and 18:4ω3 relative to C20:5ω3 and C22:6ω3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 xml:space="preserve">Together, these results suggest that Baikal’s nearshore periphyton communities near human lakeside developments are becoming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658B1DE5"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compositions. </w:t>
      </w:r>
      <w:r>
        <w:rPr>
          <w:rFonts w:ascii="Times New Roman" w:eastAsia="Times New Roman" w:hAnsi="Times New Roman" w:cs="Times New Roman"/>
          <w:sz w:val="24"/>
          <w:szCs w:val="24"/>
        </w:rPr>
        <w:t xml:space="preserve">EFAs are a subgroup of polyunsaturated fatty acids (PUFAs) that are prone to accumulating within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an ecological focus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114B68E5" w:rsidR="004B79EC" w:rsidRDefault="00C842B9"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With respect to how benthic consumer communities would restructure with a changing periphyton community and increasing sewage signal,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Pr>
          <w:rFonts w:ascii="Times New Roman" w:eastAsia="Times New Roman" w:hAnsi="Times New Roman" w:cs="Times New Roman"/>
          <w:sz w:val="24"/>
          <w:szCs w:val="24"/>
        </w:rPr>
        <w:t xml:space="preserve">. </w:t>
      </w:r>
      <w:r w:rsidR="00D37BB9">
        <w:rPr>
          <w:rFonts w:ascii="Times New Roman" w:eastAsia="Times New Roman" w:hAnsi="Times New Roman" w:cs="Times New Roman"/>
          <w:sz w:val="24"/>
          <w:szCs w:val="24"/>
        </w:rPr>
        <w:t>Echoing</w:t>
      </w:r>
      <w:r w:rsidR="002D1941">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(2016)</w:t>
      </w:r>
      <w:r w:rsidR="00965CCB">
        <w:rPr>
          <w:rFonts w:ascii="Times New Roman" w:eastAsia="Times New Roman" w:hAnsi="Times New Roman" w:cs="Times New Roman"/>
          <w:sz w:val="24"/>
          <w:szCs w:val="24"/>
        </w:rPr>
        <w:t xml:space="preserve"> reported mass mortality of snails</w:t>
      </w:r>
      <w:r w:rsidR="00D8535D">
        <w:rPr>
          <w:rFonts w:ascii="Times New Roman" w:eastAsia="Times New Roman" w:hAnsi="Times New Roman" w:cs="Times New Roman"/>
          <w:sz w:val="24"/>
          <w:szCs w:val="24"/>
        </w:rPr>
        <w:t xml:space="preserve">, our results also support those authors’ general conclusion 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within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having low tolerance for increased PPCP concentrations</w:t>
      </w:r>
      <w:r w:rsidR="00092E59">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not being able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filamentous algae not offering the proper nutritional yield for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or certain contaminants within the sewage being particularly toxic to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(Timoshkin et al. 2016)</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 this genus, however,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w:t>
      </w:r>
      <w:r w:rsidR="000F2398">
        <w:rPr>
          <w:rFonts w:ascii="Times New Roman" w:eastAsia="Times New Roman" w:hAnsi="Times New Roman" w:cs="Times New Roman"/>
          <w:sz w:val="24"/>
          <w:szCs w:val="24"/>
          <w:highlight w:val="white"/>
        </w:rPr>
        <w:lastRenderedPageBreak/>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concentrations likewise suggests that sewage-derived nutrients are being incorporated into the food web. While we did not test amphipod tissue for other sewage indicators, such as PPCPs and microplastics, similar studies have demonstrated the potential for PPCPs to not only bioaccumulate but also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within food webs</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5A0BF70C"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N concentrations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 and 22:5ω3 signatures</w:t>
      </w:r>
      <w:r w:rsidR="004B79EC">
        <w:rPr>
          <w:rFonts w:ascii="Times New Roman" w:eastAsia="Times New Roman" w:hAnsi="Times New Roman" w:cs="Times New Roman"/>
          <w:sz w:val="24"/>
          <w:szCs w:val="24"/>
        </w:rPr>
        <w:t xml:space="preserve"> relative to 18:3ω3 and 18:4ω3</w:t>
      </w:r>
      <w:r w:rsidR="00131BD0">
        <w:rPr>
          <w:rFonts w:ascii="Times New Roman" w:eastAsia="Times New Roman" w:hAnsi="Times New Roman" w:cs="Times New Roman"/>
          <w:sz w:val="24"/>
          <w:szCs w:val="24"/>
        </w:rPr>
        <w:t>.</w:t>
      </w:r>
      <w:r w:rsidR="004B79EC">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Unlike primary producers, consumers usually accumulate fatty acids from their food source. Yoshii’s (1999) study use of stable isotope data suggested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 xml:space="preserve"> 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fatty acid profiles in amphipods largely reflect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compensating for periphyton’s shifting nutritional status</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removing 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indeed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 xml:space="preserve"> 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w:t>
      </w:r>
      <w:r w:rsidR="00514479">
        <w:rPr>
          <w:rFonts w:ascii="Times New Roman" w:eastAsia="Times New Roman" w:hAnsi="Times New Roman" w:cs="Times New Roman"/>
          <w:sz w:val="24"/>
          <w:szCs w:val="24"/>
        </w:rPr>
        <w:t xml:space="preserve"> though</w:t>
      </w:r>
      <w:r w:rsidR="00D8535D">
        <w:rPr>
          <w:rFonts w:ascii="Times New Roman" w:eastAsia="Times New Roman" w:hAnsi="Times New Roman" w:cs="Times New Roman"/>
          <w:sz w:val="24"/>
          <w:szCs w:val="24"/>
        </w:rPr>
        <w:t xml:space="preserve">, our data </w:t>
      </w:r>
      <w:r w:rsidR="00514479">
        <w:rPr>
          <w:rFonts w:ascii="Times New Roman" w:eastAsia="Times New Roman" w:hAnsi="Times New Roman" w:cs="Times New Roman"/>
          <w:sz w:val="24"/>
          <w:szCs w:val="24"/>
        </w:rPr>
        <w:t xml:space="preserve">suggest that food web interactions would alter 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2B224E7E"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remaining ultra-oligotrophic. While Baikal may have multiple sources of nutrient inputs, including melting permafrost, o</w:t>
      </w:r>
      <w:r w:rsidR="00D8535D">
        <w:rPr>
          <w:rFonts w:ascii="Times New Roman" w:eastAsia="Times New Roman" w:hAnsi="Times New Roman" w:cs="Times New Roman"/>
          <w:sz w:val="24"/>
          <w:szCs w:val="24"/>
        </w:rPr>
        <w:t xml:space="preserve">ur results corroborate previous studies by </w:t>
      </w:r>
      <w:r w:rsidR="00154ABA">
        <w:rPr>
          <w:rFonts w:ascii="Times New Roman" w:eastAsia="Times New Roman" w:hAnsi="Times New Roman" w:cs="Times New Roman"/>
          <w:sz w:val="24"/>
          <w:szCs w:val="24"/>
        </w:rPr>
        <w:t>show</w:t>
      </w:r>
      <w:r w:rsidR="00DA2137">
        <w:rPr>
          <w:rFonts w:ascii="Times New Roman" w:eastAsia="Times New Roman" w:hAnsi="Times New Roman" w:cs="Times New Roman"/>
          <w:sz w:val="24"/>
          <w:szCs w:val="24"/>
        </w:rPr>
        <w:t>ing sewage 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F</w:t>
      </w:r>
      <w:r w:rsidR="00C03D31">
        <w:rPr>
          <w:rFonts w:ascii="Times New Roman" w:eastAsia="Times New Roman" w:hAnsi="Times New Roman" w:cs="Times New Roman"/>
          <w:sz w:val="24"/>
          <w:szCs w:val="24"/>
        </w:rPr>
        <w:t>ollowing f</w:t>
      </w:r>
      <w:r w:rsidR="00DA2137">
        <w:rPr>
          <w:rFonts w:ascii="Times New Roman" w:eastAsia="Times New Roman" w:hAnsi="Times New Roman" w:cs="Times New Roman"/>
          <w:sz w:val="24"/>
          <w:szCs w:val="24"/>
        </w:rPr>
        <w:t xml:space="preserve">oundations lain by </w:t>
      </w:r>
      <w:proofErr w:type="spellStart"/>
      <w:r w:rsidR="00DA2137">
        <w:rPr>
          <w:rFonts w:ascii="Times New Roman" w:eastAsia="Times New Roman" w:hAnsi="Times New Roman" w:cs="Times New Roman"/>
          <w:sz w:val="24"/>
          <w:szCs w:val="24"/>
        </w:rPr>
        <w:t>Timoshkin</w:t>
      </w:r>
      <w:proofErr w:type="spellEnd"/>
      <w:r w:rsidR="00DA2137">
        <w:rPr>
          <w:rFonts w:ascii="Times New Roman" w:eastAsia="Times New Roman" w:hAnsi="Times New Roman" w:cs="Times New Roman"/>
          <w:sz w:val="24"/>
          <w:szCs w:val="24"/>
        </w:rPr>
        <w:t xml:space="preserve"> et al. (2016, 2018) and </w:t>
      </w:r>
      <w:proofErr w:type="spellStart"/>
      <w:r w:rsidR="00DA2137">
        <w:rPr>
          <w:rFonts w:ascii="Times New Roman" w:eastAsia="Times New Roman" w:hAnsi="Times New Roman" w:cs="Times New Roman"/>
          <w:sz w:val="24"/>
          <w:szCs w:val="24"/>
        </w:rPr>
        <w:t>Ozersky</w:t>
      </w:r>
      <w:proofErr w:type="spellEnd"/>
      <w:r w:rsidR="00DA2137">
        <w:rPr>
          <w:rFonts w:ascii="Times New Roman" w:eastAsia="Times New Roman" w:hAnsi="Times New Roman" w:cs="Times New Roman"/>
          <w:sz w:val="24"/>
          <w:szCs w:val="24"/>
        </w:rPr>
        <w:t xml:space="preserve"> et al. (2018)</w:t>
      </w:r>
      <w:r w:rsidR="00D8535D">
        <w:rPr>
          <w:rFonts w:ascii="Times New Roman" w:eastAsia="Times New Roman" w:hAnsi="Times New Roman" w:cs="Times New Roman"/>
          <w:sz w:val="24"/>
          <w:szCs w:val="24"/>
        </w:rPr>
        <w:t xml:space="preserve">, our results demonstrate how patchy hot spots of 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study pairs co-located measurements of sewage pollution (i.e., PPCPs) with nuanced dietary tracers (i.e., fatty acids) to </w:t>
      </w:r>
      <w:r w:rsidR="00373E7B">
        <w:rPr>
          <w:rFonts w:ascii="Times New Roman" w:eastAsia="Times New Roman" w:hAnsi="Times New Roman" w:cs="Times New Roman"/>
          <w:sz w:val="24"/>
          <w:szCs w:val="24"/>
        </w:rPr>
        <w:t>assess benthic community and food web consequences of sewage pollution. In general, our results suggest that w</w:t>
      </w:r>
      <w:r w:rsidR="00DA2137">
        <w:rPr>
          <w:rFonts w:ascii="Times New Roman" w:eastAsia="Times New Roman" w:hAnsi="Times New Roman" w:cs="Times New Roman"/>
          <w:sz w:val="24"/>
          <w:szCs w:val="24"/>
        </w:rPr>
        <w:t xml:space="preserve">hile sewage pollution may lead to changing </w:t>
      </w:r>
      <w:r w:rsidR="00DA2137">
        <w:rPr>
          <w:rFonts w:ascii="Times New Roman" w:eastAsia="Times New Roman" w:hAnsi="Times New Roman" w:cs="Times New Roman"/>
          <w:sz w:val="24"/>
          <w:szCs w:val="24"/>
        </w:rPr>
        <w:lastRenderedPageBreak/>
        <w:t>standing resources for macroinvertebrate grazers, Baikal’s amphipods appear to be compensating either by selectively grazing on diatoms or 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6D1C9C">
        <w:rPr>
          <w:rFonts w:ascii="Times New Roman" w:eastAsia="Times New Roman" w:hAnsi="Times New Roman" w:cs="Times New Roman"/>
          <w:sz w:val="24"/>
          <w:szCs w:val="24"/>
        </w:rPr>
        <w:t xml:space="preserve">the </w:t>
      </w:r>
      <w:r w:rsidR="00373E7B">
        <w:rPr>
          <w:rFonts w:ascii="Times New Roman" w:eastAsia="Times New Roman" w:hAnsi="Times New Roman" w:cs="Times New Roman"/>
          <w:sz w:val="24"/>
          <w:szCs w:val="24"/>
        </w:rPr>
        <w:t>fatty acids necessary to survive in Baikal’s cold temperatures.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7C6C702A"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2014)","dontUpdate":true,"noteIndex":0},"citationItems":[{"id":703,"uris":["http://zotero.org/users/2645460/items/UPBEZ8TP"],"uri":["http://zotero.org/users/2645460/items/UPBEZ8TP"],"itemData":{"id":703,"type":"article","language":"Russian","publisher":"Russian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FF225E">
        <w:rPr>
          <w:rFonts w:ascii="Times New Roman" w:eastAsia="Times New Roman" w:hAnsi="Times New Roman" w:cs="Times New Roman"/>
          <w:sz w:val="24"/>
          <w:szCs w:val="24"/>
        </w:rPr>
        <w:fldChar w:fldCharType="separate"/>
      </w:r>
      <w:r w:rsidR="004A728E">
        <w:rPr>
          <w:rFonts w:ascii="Times New Roman" w:hAnsi="Times New Roman" w:cs="Times New Roman"/>
          <w:sz w:val="24"/>
        </w:rPr>
        <w:t>(</w:t>
      </w:r>
      <w:r w:rsidR="00FF225E" w:rsidRPr="00833C11">
        <w:rPr>
          <w:rFonts w:ascii="Times New Roman" w:hAnsi="Times New Roman" w:cs="Times New Roman"/>
          <w:sz w:val="24"/>
        </w:rPr>
        <w:t>Ministry of Natural Resources and Ecology of the Russian Federation 2014)</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FF225E">
        <w:rPr>
          <w:rFonts w:ascii="Times New Roman" w:eastAsia="Times New Roman" w:hAnsi="Times New Roman" w:cs="Times New Roman"/>
          <w:sz w:val="24"/>
          <w:szCs w:val="24"/>
        </w:rPr>
        <w:t xml:space="preserve">eutrophic hot spots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developing throughout the lake suggest localized eutrophication</w:t>
      </w:r>
      <w:r w:rsidR="004A728E">
        <w:rPr>
          <w:rFonts w:ascii="Times New Roman" w:eastAsia="Times New Roman" w:hAnsi="Times New Roman" w:cs="Times New Roman"/>
          <w:sz w:val="24"/>
          <w:szCs w:val="24"/>
        </w:rPr>
        <w:t xml:space="preserve"> (</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the pelagic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reversal can be complicated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 xml:space="preserve"> and highly idiosyncratic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 systems may experience low level sewage inputs or even nutrient inputs from multiple sources, incorporating sewage specific indicators, such as PPCPs, may be necessary</w:t>
      </w:r>
      <w:r w:rsidR="008A18BF">
        <w:rPr>
          <w:rFonts w:ascii="Times New Roman" w:eastAsia="Times New Roman" w:hAnsi="Times New Roman" w:cs="Times New Roman"/>
          <w:sz w:val="24"/>
          <w:szCs w:val="24"/>
        </w:rPr>
        <w:t>. Such work would be</w:t>
      </w:r>
      <w:r w:rsidR="00FF225E">
        <w:rPr>
          <w:rFonts w:ascii="Times New Roman" w:eastAsia="Times New Roman" w:hAnsi="Times New Roman" w:cs="Times New Roman"/>
          <w:sz w:val="24"/>
          <w:szCs w:val="24"/>
        </w:rPr>
        <w:t xml:space="preserve"> especially </w:t>
      </w:r>
      <w:r w:rsidR="008A18BF">
        <w:rPr>
          <w:rFonts w:ascii="Times New Roman" w:eastAsia="Times New Roman" w:hAnsi="Times New Roman" w:cs="Times New Roman"/>
          <w:sz w:val="24"/>
          <w:szCs w:val="24"/>
        </w:rPr>
        <w:t xml:space="preserve">useful, given that </w:t>
      </w:r>
      <w:r w:rsidR="00FF225E">
        <w:rPr>
          <w:rFonts w:ascii="Times New Roman" w:eastAsia="Times New Roman" w:hAnsi="Times New Roman" w:cs="Times New Roman"/>
          <w:sz w:val="24"/>
          <w:szCs w:val="24"/>
        </w:rPr>
        <w:t xml:space="preserve">lakes have historically been underrepresented in the PPCP literature (Meyer et al., 2019). </w:t>
      </w:r>
      <w:r w:rsidR="008B16F2">
        <w:rPr>
          <w:rFonts w:ascii="Times New Roman" w:eastAsia="Times New Roman" w:hAnsi="Times New Roman" w:cs="Times New Roman"/>
          <w:sz w:val="24"/>
          <w:szCs w:val="24"/>
        </w:rPr>
        <w:t xml:space="preserve">If included in monitoring, PPCP sampling has the promise to not only specify 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define 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155633">
        <w:rPr>
          <w:rFonts w:ascii="Times New Roman" w:eastAsia="Times New Roman" w:hAnsi="Times New Roman" w:cs="Times New Roman"/>
          <w:sz w:val="24"/>
          <w:szCs w:val="24"/>
        </w:rPr>
        <w:t xml:space="preserve">When paired with co-located, nearshore community data, managers can be better informed in how their system is responding </w:t>
      </w:r>
      <w:r w:rsidR="00947C9E">
        <w:rPr>
          <w:rFonts w:ascii="Times New Roman" w:eastAsia="Times New Roman" w:hAnsi="Times New Roman" w:cs="Times New Roman"/>
          <w:sz w:val="24"/>
          <w:szCs w:val="24"/>
        </w:rPr>
        <w:t>and take</w:t>
      </w:r>
      <w:r w:rsidR="00155633">
        <w:rPr>
          <w:rFonts w:ascii="Times New Roman" w:eastAsia="Times New Roman" w:hAnsi="Times New Roman" w:cs="Times New Roman"/>
          <w:sz w:val="24"/>
          <w:szCs w:val="24"/>
        </w:rPr>
        <w:t xml:space="preserve"> appropriate action before changes are detected offshore.</w:t>
      </w:r>
      <w:r w:rsidR="00FF225E">
        <w:rPr>
          <w:rFonts w:ascii="Times New Roman" w:eastAsia="Times New Roman" w:hAnsi="Times New Roman" w:cs="Times New Roman"/>
          <w:sz w:val="24"/>
          <w:szCs w:val="24"/>
        </w:rPr>
        <w:t xml:space="preserve"> </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4073C9A7" w14:textId="77777777" w:rsidR="003E64B9" w:rsidRDefault="00A92B32" w:rsidP="003E64B9">
      <w:pPr>
        <w:pStyle w:val="Bibliography"/>
      </w:pPr>
      <w:r w:rsidRPr="00A92B32">
        <w:fldChar w:fldCharType="begin"/>
      </w:r>
      <w:r w:rsidR="003E64B9">
        <w:instrText xml:space="preserve"> ADDIN ZOTERO_BIBL {"uncited":[],"omitted":[],"custom":[]} CSL_BIBLIOGRAPHY </w:instrText>
      </w:r>
      <w:r w:rsidRPr="00A92B32">
        <w:fldChar w:fldCharType="separate"/>
      </w:r>
      <w:r w:rsidR="003E64B9">
        <w:t xml:space="preserve">Anderson, M. J. 2001. A new method for non-parametric multivariate analysis of variance. Austral Ecology </w:t>
      </w:r>
      <w:r w:rsidR="003E64B9">
        <w:rPr>
          <w:b/>
          <w:bCs/>
        </w:rPr>
        <w:t>26</w:t>
      </w:r>
      <w:r w:rsidR="003E64B9">
        <w:t>: 32–46. doi:10.1111/j.1442-9993.2001.01070.pp.x</w:t>
      </w:r>
    </w:p>
    <w:p w14:paraId="350BDA0B" w14:textId="77777777" w:rsidR="003E64B9" w:rsidRDefault="003E64B9" w:rsidP="003E64B9">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22B8B1B0" w14:textId="77777777" w:rsidR="003E64B9" w:rsidRDefault="003E64B9" w:rsidP="003E64B9">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228570AD" w14:textId="77777777" w:rsidR="003E64B9" w:rsidRDefault="003E64B9" w:rsidP="003E64B9">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7440581D" w14:textId="77777777" w:rsidR="003E64B9" w:rsidRDefault="003E64B9" w:rsidP="003E64B9">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6381445F" w14:textId="77777777" w:rsidR="003E64B9" w:rsidRDefault="003E64B9" w:rsidP="003E64B9">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7128E9D1" w14:textId="77777777" w:rsidR="003E64B9" w:rsidRDefault="003E64B9" w:rsidP="003E64B9">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499EFA0D" w14:textId="77777777" w:rsidR="003E64B9" w:rsidRDefault="003E64B9" w:rsidP="003E64B9">
      <w:pPr>
        <w:pStyle w:val="Bibliography"/>
      </w:pPr>
      <w:r>
        <w:t xml:space="preserve">Castell, J. D., E. J. Kennedy, S. M. C. Robinson, G. J. Parsons, T. J. Blair, and E. Gonzalez-Duran. 2004. Effect of dietary lipids on fatty acid composition and metabolism in juvenile </w:t>
      </w:r>
      <w:r>
        <w:lastRenderedPageBreak/>
        <w:t xml:space="preserve">green sea urchins (Strongylocentrotus droebachiensis). Aquaculture </w:t>
      </w:r>
      <w:r>
        <w:rPr>
          <w:b/>
          <w:bCs/>
        </w:rPr>
        <w:t>242</w:t>
      </w:r>
      <w:r>
        <w:t>: 417–435. doi:10.1016/j.aquaculture.2003.11.003</w:t>
      </w:r>
    </w:p>
    <w:p w14:paraId="72EB99C3" w14:textId="77777777" w:rsidR="003E64B9" w:rsidRDefault="003E64B9" w:rsidP="003E64B9">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5376D443" w14:textId="77777777" w:rsidR="003E64B9" w:rsidRDefault="003E64B9" w:rsidP="003E64B9">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10B9E316" w14:textId="77777777" w:rsidR="003E64B9" w:rsidRDefault="003E64B9" w:rsidP="003E64B9">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4649872D" w14:textId="77777777" w:rsidR="003E64B9" w:rsidRDefault="003E64B9" w:rsidP="003E64B9">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0DD3AE6E" w14:textId="77777777" w:rsidR="003E64B9" w:rsidRDefault="003E64B9" w:rsidP="003E64B9">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0CD766B7" w14:textId="77777777" w:rsidR="003E64B9" w:rsidRDefault="003E64B9" w:rsidP="003E64B9">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3E8C2929" w14:textId="77777777" w:rsidR="003E64B9" w:rsidRDefault="003E64B9" w:rsidP="003E64B9">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2213E9F4" w14:textId="77777777" w:rsidR="003E64B9" w:rsidRDefault="003E64B9" w:rsidP="003E64B9">
      <w:pPr>
        <w:pStyle w:val="Bibliography"/>
      </w:pPr>
      <w:r>
        <w:lastRenderedPageBreak/>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71030A3B" w14:textId="77777777" w:rsidR="003E64B9" w:rsidRDefault="003E64B9" w:rsidP="003E64B9">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1CAC7C69" w14:textId="77777777" w:rsidR="003E64B9" w:rsidRDefault="003E64B9" w:rsidP="003E64B9">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202D8F1B" w14:textId="77777777" w:rsidR="003E64B9" w:rsidRDefault="003E64B9" w:rsidP="003E64B9">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0ED7B2D0" w14:textId="77777777" w:rsidR="003E64B9" w:rsidRDefault="003E64B9" w:rsidP="003E64B9">
      <w:pPr>
        <w:pStyle w:val="Bibliography"/>
      </w:pPr>
      <w:r>
        <w:t xml:space="preserve">Guzzo, M. M., G. D. Haffner, S. Sorge, S. A. Rush, and A. T. Fisk. 2011. Spatial and temporal variabilities of δ13C and δ15N within lower trophic levels of a large lake: implications for estimating trophic relationships of consumers. Hydrobiologia </w:t>
      </w:r>
      <w:r>
        <w:rPr>
          <w:b/>
          <w:bCs/>
        </w:rPr>
        <w:t>675</w:t>
      </w:r>
      <w:r>
        <w:t>: 41–53. doi:10.1007/s10750-011-0794-1</w:t>
      </w:r>
    </w:p>
    <w:p w14:paraId="03F38B4A" w14:textId="77777777" w:rsidR="003E64B9" w:rsidRDefault="003E64B9" w:rsidP="003E64B9">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3133526D" w14:textId="77777777" w:rsidR="003E64B9" w:rsidRDefault="003E64B9" w:rsidP="003E64B9">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18EDF073" w14:textId="77777777" w:rsidR="003E64B9" w:rsidRDefault="003E64B9" w:rsidP="003E64B9">
      <w:pPr>
        <w:pStyle w:val="Bibliography"/>
      </w:pPr>
      <w:r>
        <w:t xml:space="preserve">Hampton, S. E., S. McGowan, T. Ozersky, and others. 2018. Recent ecological change in ancient lakes. Limnology and Oceanography </w:t>
      </w:r>
      <w:r>
        <w:rPr>
          <w:b/>
          <w:bCs/>
        </w:rPr>
        <w:t>63</w:t>
      </w:r>
      <w:r>
        <w:t>: 2277–2304. doi:10.1002/lno.10938</w:t>
      </w:r>
    </w:p>
    <w:p w14:paraId="7B2E1EE0" w14:textId="77777777" w:rsidR="003E64B9" w:rsidRDefault="003E64B9" w:rsidP="003E64B9">
      <w:pPr>
        <w:pStyle w:val="Bibliography"/>
      </w:pPr>
      <w:r>
        <w:lastRenderedPageBreak/>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336372EF" w14:textId="77777777" w:rsidR="003E64B9" w:rsidRDefault="003E64B9" w:rsidP="003E64B9">
      <w:pPr>
        <w:pStyle w:val="Bibliography"/>
      </w:pPr>
      <w:r>
        <w:t xml:space="preserve">Hollingsworth, R. G., J. W. Armstrong, and E. Campbell. 2002. Caffeine as a repellent for slugs and snails. Nature </w:t>
      </w:r>
      <w:r>
        <w:rPr>
          <w:b/>
          <w:bCs/>
        </w:rPr>
        <w:t>417</w:t>
      </w:r>
      <w:r>
        <w:t>: 915–916. doi:10.1038/417915a</w:t>
      </w:r>
    </w:p>
    <w:p w14:paraId="093D0289" w14:textId="77777777" w:rsidR="003E64B9" w:rsidRDefault="003E64B9" w:rsidP="003E64B9">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0496EEBB" w14:textId="77777777" w:rsidR="003E64B9" w:rsidRDefault="003E64B9" w:rsidP="003E64B9">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2D512ED0" w14:textId="77777777" w:rsidR="003E64B9" w:rsidRDefault="003E64B9" w:rsidP="003E64B9">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1E7DA1DA" w14:textId="77777777" w:rsidR="003E64B9" w:rsidRDefault="003E64B9" w:rsidP="003E64B9">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54B6FC30" w14:textId="77777777" w:rsidR="003E64B9" w:rsidRDefault="003E64B9" w:rsidP="003E64B9">
      <w:pPr>
        <w:pStyle w:val="Bibliography"/>
      </w:pPr>
      <w:r>
        <w:t xml:space="preserve">Kelly, J. R., and R. E. Scheibling. 2012. Fatty acids as dietary tracers in benthic food webs. Marine Ecology Progress Series </w:t>
      </w:r>
      <w:r>
        <w:rPr>
          <w:b/>
          <w:bCs/>
        </w:rPr>
        <w:t>446</w:t>
      </w:r>
      <w:r>
        <w:t>: 1–22. doi:10.3354/meps09559</w:t>
      </w:r>
    </w:p>
    <w:p w14:paraId="0AF5AF08" w14:textId="77777777" w:rsidR="003E64B9" w:rsidRDefault="003E64B9" w:rsidP="003E64B9">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0E488779" w14:textId="77777777" w:rsidR="003E64B9" w:rsidRDefault="003E64B9" w:rsidP="003E64B9">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0F81DDF7" w14:textId="77777777" w:rsidR="003E64B9" w:rsidRDefault="003E64B9" w:rsidP="003E64B9">
      <w:pPr>
        <w:pStyle w:val="Bibliography"/>
      </w:pPr>
      <w:r>
        <w:lastRenderedPageBreak/>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042CF845" w14:textId="77777777" w:rsidR="003E64B9" w:rsidRDefault="003E64B9" w:rsidP="003E64B9">
      <w:pPr>
        <w:pStyle w:val="Bibliography"/>
      </w:pPr>
      <w:r>
        <w:t>Kozhov, M. M. 1963. Lake Baikal and its Life, Springer Science &amp; Business Media.</w:t>
      </w:r>
    </w:p>
    <w:p w14:paraId="4C3D10A2" w14:textId="77777777" w:rsidR="003E64B9" w:rsidRDefault="003E64B9" w:rsidP="003E64B9">
      <w:pPr>
        <w:pStyle w:val="Bibliography"/>
      </w:pPr>
      <w:r>
        <w:t>Kozhova, O. M., and L. R. Izmest’eva. 1998. Lake Baikal: Evolution and Biodiversity, Backhuys Publishers.</w:t>
      </w:r>
    </w:p>
    <w:p w14:paraId="5DB3FF13" w14:textId="77777777" w:rsidR="003E64B9" w:rsidRDefault="003E64B9" w:rsidP="003E64B9">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5D4D6F24" w14:textId="77777777" w:rsidR="003E64B9" w:rsidRDefault="003E64B9" w:rsidP="003E64B9">
      <w:pPr>
        <w:pStyle w:val="Bibliography"/>
      </w:pPr>
      <w:r>
        <w:t xml:space="preserve">Lambert, D., A. Cattaneo, and R. Carignan. 2008. Periphyton as an early indicator of perturbation in recreational lakes. Can. J. Fish. Aquat. Sci. </w:t>
      </w:r>
      <w:r>
        <w:rPr>
          <w:b/>
          <w:bCs/>
        </w:rPr>
        <w:t>65</w:t>
      </w:r>
      <w:r>
        <w:t>: 258–265. doi:10.1139/f07-168</w:t>
      </w:r>
    </w:p>
    <w:p w14:paraId="7EAD9FDA" w14:textId="77777777" w:rsidR="003E64B9" w:rsidRDefault="003E64B9" w:rsidP="003E64B9">
      <w:pPr>
        <w:pStyle w:val="Bibliography"/>
      </w:pPr>
      <w:r>
        <w:t>Legendre, P., and L. Legendre. 2012. Numerical Ecology, 3rd ed. Elsevier.</w:t>
      </w:r>
    </w:p>
    <w:p w14:paraId="65DA5DFD" w14:textId="77777777" w:rsidR="003E64B9" w:rsidRDefault="003E64B9" w:rsidP="003E64B9">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05548D0E" w14:textId="77777777" w:rsidR="003E64B9" w:rsidRDefault="003E64B9" w:rsidP="003E64B9">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17B3F2E8" w14:textId="77777777" w:rsidR="003E64B9" w:rsidRDefault="003E64B9" w:rsidP="003E64B9">
      <w:pPr>
        <w:pStyle w:val="Bibliography"/>
      </w:pPr>
      <w:r>
        <w:t>Mazzella, L., and G. F. Russo. 1989. Grazing effect of two Gibbula species (Mollusca, Archaeogastropoda) on the epiphytic community of Posidonia oceanica leaves.</w:t>
      </w:r>
    </w:p>
    <w:p w14:paraId="6D7A772F" w14:textId="77777777" w:rsidR="003E64B9" w:rsidRDefault="003E64B9" w:rsidP="003E64B9">
      <w:pPr>
        <w:pStyle w:val="Bibliography"/>
      </w:pPr>
      <w:r>
        <w:t xml:space="preserve">McIntyre, P. B., and A. S. Flecker. 2006. Rapid turnover of tissue nitrogen of primary consumers in tropical freshwaters. Oecologia </w:t>
      </w:r>
      <w:r>
        <w:rPr>
          <w:b/>
          <w:bCs/>
        </w:rPr>
        <w:t>148</w:t>
      </w:r>
      <w:r>
        <w:t>: 12–21. doi:10.1007/s00442-005-0354-3</w:t>
      </w:r>
    </w:p>
    <w:p w14:paraId="0E3B3C2A" w14:textId="77777777" w:rsidR="003E64B9" w:rsidRDefault="003E64B9" w:rsidP="003E64B9">
      <w:pPr>
        <w:pStyle w:val="Bibliography"/>
      </w:pPr>
      <w:r>
        <w:t xml:space="preserve">Meyer, M. F., S. M. Powers, and S. E. Hampton. 2019. An Evidence Synthesis of Pharmaceuticals and Personal Care Products (PPCPs) in the Environment: Imbalances </w:t>
      </w:r>
      <w:r>
        <w:lastRenderedPageBreak/>
        <w:t xml:space="preserve">among Compounds, Sewage Treatment Techniques, and Ecosystem Types. Environ. Sci. Technol. </w:t>
      </w:r>
      <w:r>
        <w:rPr>
          <w:b/>
          <w:bCs/>
        </w:rPr>
        <w:t>53</w:t>
      </w:r>
      <w:r>
        <w:t>: 12961–12973. doi:10.1021/acs.est.9b02966</w:t>
      </w:r>
    </w:p>
    <w:p w14:paraId="117FD4ED" w14:textId="77777777" w:rsidR="003E64B9" w:rsidRDefault="003E64B9" w:rsidP="003E64B9">
      <w:pPr>
        <w:pStyle w:val="Bibliography"/>
      </w:pPr>
      <w:r>
        <w:t>Ministry of Natural Resources and Ecology of the Russian Federation. 2014. On the State of Lake Baikal and Measures for Its Protection in 2013: Government Report.</w:t>
      </w:r>
    </w:p>
    <w:p w14:paraId="70184E61" w14:textId="77777777" w:rsidR="003E64B9" w:rsidRDefault="003E64B9" w:rsidP="003E64B9">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6F83C79C" w14:textId="77777777" w:rsidR="003E64B9" w:rsidRDefault="003E64B9" w:rsidP="003E64B9">
      <w:pPr>
        <w:pStyle w:val="Bibliography"/>
      </w:pPr>
      <w:r>
        <w:t>Moran, P. W., S. E. Cox, S. S. Embrey, R. L. Huffman, T. D. Olsen, and S. C. Fradkin. 2012. Sources and Sinks of Nitrogen and Phosphorus in a Deep, Oligotrophic Lake, Lake Crescent, Olympic National Park, Washington. US Geological Survey.</w:t>
      </w:r>
    </w:p>
    <w:p w14:paraId="2D8DACED" w14:textId="77777777" w:rsidR="003E64B9" w:rsidRDefault="003E64B9" w:rsidP="003E64B9">
      <w:pPr>
        <w:pStyle w:val="Bibliography"/>
      </w:pPr>
      <w:r>
        <w:t xml:space="preserve">Nichols, D. S., P. D. Nichols, and T. A. McMeekin. 1993. Polyunsaturated fatty acids in Antarctic bacteria. Antartic science </w:t>
      </w:r>
      <w:r>
        <w:rPr>
          <w:b/>
          <w:bCs/>
        </w:rPr>
        <w:t>5</w:t>
      </w:r>
      <w:r>
        <w:t>: 149–160. doi:10.1017/S0954102093000215</w:t>
      </w:r>
    </w:p>
    <w:p w14:paraId="2F2FC050" w14:textId="77777777" w:rsidR="003E64B9" w:rsidRDefault="003E64B9" w:rsidP="003E64B9">
      <w:pPr>
        <w:pStyle w:val="Bibliography"/>
      </w:pPr>
      <w:r>
        <w:t>Oksanen, J., F. G. Blanchet, M. Friendly, and others. 2019. vegan: Community Ecology Package,.</w:t>
      </w:r>
    </w:p>
    <w:p w14:paraId="55F18A16" w14:textId="77777777" w:rsidR="003E64B9" w:rsidRDefault="003E64B9" w:rsidP="003E64B9">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2E4B63B5" w14:textId="77777777" w:rsidR="003E64B9" w:rsidRDefault="003E64B9" w:rsidP="003E64B9">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1D3CD7F2" w14:textId="77777777" w:rsidR="003E64B9" w:rsidRDefault="003E64B9" w:rsidP="003E64B9">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42351370" w14:textId="77777777" w:rsidR="003E64B9" w:rsidRDefault="003E64B9" w:rsidP="003E64B9">
      <w:pPr>
        <w:pStyle w:val="Bibliography"/>
      </w:pPr>
      <w:r>
        <w:lastRenderedPageBreak/>
        <w:t xml:space="preserve">Post, D. M. 2002. Using Stable Isotopes to Estimate Trophic Position: Models, Methods, and Assumptions. Ecology </w:t>
      </w:r>
      <w:r>
        <w:rPr>
          <w:b/>
          <w:bCs/>
        </w:rPr>
        <w:t>83</w:t>
      </w:r>
      <w:r>
        <w:t>: 703–718. doi:10.1890/0012-9658(2002)083[0703:USITET]2.0.CO;2</w:t>
      </w:r>
    </w:p>
    <w:p w14:paraId="09379631" w14:textId="77777777" w:rsidR="003E64B9" w:rsidRDefault="003E64B9" w:rsidP="003E64B9">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34899BDC" w14:textId="77777777" w:rsidR="003E64B9" w:rsidRDefault="003E64B9" w:rsidP="003E64B9">
      <w:pPr>
        <w:pStyle w:val="Bibliography"/>
      </w:pPr>
      <w:r>
        <w:t>R Core Team. 2019. R: A Language and Environment for Statistical Computing,.</w:t>
      </w:r>
    </w:p>
    <w:p w14:paraId="1E2D1A65" w14:textId="77777777" w:rsidR="003E64B9" w:rsidRDefault="003E64B9" w:rsidP="003E64B9">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435A5581" w14:textId="77777777" w:rsidR="003E64B9" w:rsidRDefault="003E64B9" w:rsidP="003E64B9">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7B8F1445" w14:textId="77777777" w:rsidR="003E64B9" w:rsidRDefault="003E64B9" w:rsidP="003E64B9">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3B09962D" w14:textId="77777777" w:rsidR="003E64B9" w:rsidRDefault="003E64B9" w:rsidP="003E64B9">
      <w:pPr>
        <w:pStyle w:val="Bibliography"/>
      </w:pPr>
      <w:r>
        <w:t xml:space="preserve">Rosi, E. J., D. W. Kincaid, H. A. Bechtold, T. V. Royer, M. Rojas, and J. J. Kelly. 2013. Pharmaceuticals suppress algal growth and microbial respiration and alter bacterial communities in stream biofilms. Ecological Applications </w:t>
      </w:r>
      <w:r>
        <w:rPr>
          <w:b/>
          <w:bCs/>
        </w:rPr>
        <w:t>23</w:t>
      </w:r>
      <w:r>
        <w:t>: 583–593.</w:t>
      </w:r>
    </w:p>
    <w:p w14:paraId="79D3009B" w14:textId="77777777" w:rsidR="003E64B9" w:rsidRDefault="003E64B9" w:rsidP="003E64B9">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2ECB265B" w14:textId="77777777" w:rsidR="003E64B9" w:rsidRDefault="003E64B9" w:rsidP="003E64B9">
      <w:pPr>
        <w:pStyle w:val="Bibliography"/>
      </w:pPr>
      <w:r>
        <w:t xml:space="preserve">Sargent, J. R., and S. Falk-Petersen. 1988. The lipid biochemistry of calanoid copepods. Hydrobiologia </w:t>
      </w:r>
      <w:r>
        <w:rPr>
          <w:b/>
          <w:bCs/>
        </w:rPr>
        <w:t>167–168</w:t>
      </w:r>
      <w:r>
        <w:t>: 101–114. doi:10.1007/BF00026297</w:t>
      </w:r>
    </w:p>
    <w:p w14:paraId="428B4833" w14:textId="77777777" w:rsidR="003E64B9" w:rsidRDefault="003E64B9" w:rsidP="003E64B9">
      <w:pPr>
        <w:pStyle w:val="Bibliography"/>
      </w:pPr>
      <w:r>
        <w:lastRenderedPageBreak/>
        <w:t xml:space="preserve">Savage, C., and R. Elmgren. 2004. MACROALGAL (FUCUS VESICULOSUS) δ15N VALUES TRACE DECREASE IN SEWAGE INFLUENCE. Ecological Applications </w:t>
      </w:r>
      <w:r>
        <w:rPr>
          <w:b/>
          <w:bCs/>
        </w:rPr>
        <w:t>14</w:t>
      </w:r>
      <w:r>
        <w:t>: 517–526. doi:10.1890/02-5396</w:t>
      </w:r>
    </w:p>
    <w:p w14:paraId="745DAFE1" w14:textId="77777777" w:rsidR="003E64B9" w:rsidRDefault="003E64B9" w:rsidP="003E64B9">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49314565" w14:textId="77777777" w:rsidR="003E64B9" w:rsidRDefault="003E64B9" w:rsidP="003E64B9">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02401ADF" w14:textId="77777777" w:rsidR="003E64B9" w:rsidRDefault="003E64B9" w:rsidP="003E64B9">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7053950E" w14:textId="77777777" w:rsidR="003E64B9" w:rsidRDefault="003E64B9" w:rsidP="003E64B9">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518A3532" w14:textId="77777777" w:rsidR="003E64B9" w:rsidRDefault="003E64B9" w:rsidP="003E64B9">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3E279A5A" w14:textId="77777777" w:rsidR="003E64B9" w:rsidRDefault="003E64B9" w:rsidP="003E64B9">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10594AB6" w14:textId="77777777" w:rsidR="003E64B9" w:rsidRDefault="003E64B9" w:rsidP="003E64B9">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4C93DDB1" w14:textId="77777777" w:rsidR="003E64B9" w:rsidRDefault="003E64B9" w:rsidP="003E64B9">
      <w:pPr>
        <w:pStyle w:val="Bibliography"/>
      </w:pPr>
      <w:r>
        <w:lastRenderedPageBreak/>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5FACA445" w14:textId="77777777" w:rsidR="003E64B9" w:rsidRDefault="003E64B9" w:rsidP="003E64B9">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7D26C427" w14:textId="77777777" w:rsidR="003E64B9" w:rsidRDefault="003E64B9" w:rsidP="003E64B9">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53400B3F" w14:textId="77777777" w:rsidR="003E64B9" w:rsidRDefault="003E64B9" w:rsidP="003E64B9">
      <w:pPr>
        <w:pStyle w:val="Bibliography"/>
      </w:pPr>
      <w:r>
        <w:t>Wickham, H. 2016. ggplot2: Elegant Graphics for Data Analysis, Springer-Verlag.</w:t>
      </w:r>
    </w:p>
    <w:p w14:paraId="5AFC4C1F" w14:textId="77777777" w:rsidR="003E64B9" w:rsidRDefault="003E64B9" w:rsidP="003E64B9">
      <w:pPr>
        <w:pStyle w:val="Bibliography"/>
      </w:pPr>
      <w:r>
        <w:t>Wickham, H., R. Francois, L. Henry, and K. Mueller. 2019. dplyr: A Grammar of Data Manipulation,.</w:t>
      </w:r>
    </w:p>
    <w:p w14:paraId="1C01321B" w14:textId="77777777" w:rsidR="003E64B9" w:rsidRDefault="003E64B9" w:rsidP="003E64B9">
      <w:pPr>
        <w:pStyle w:val="Bibliography"/>
      </w:pPr>
      <w:r>
        <w:t>Wickham, H., and L. Henry. 2019. tidyr: Easily Tidy Data with ‘spread()’ and ‘gather()’ Functions,.</w:t>
      </w:r>
    </w:p>
    <w:p w14:paraId="74EBFE69" w14:textId="77777777" w:rsidR="003E64B9" w:rsidRDefault="003E64B9" w:rsidP="003E64B9">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1C8C02B9" w14:textId="77777777" w:rsidR="003E64B9" w:rsidRDefault="003E64B9" w:rsidP="003E64B9">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4251415C" w14:textId="77777777" w:rsidR="003E64B9" w:rsidRDefault="003E64B9" w:rsidP="003E64B9">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1ACD0460" w14:textId="42452B35"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3E64B9" w14:paraId="400D2454" w14:textId="77777777" w:rsidTr="008464CC">
        <w:tc>
          <w:tcPr>
            <w:tcW w:w="7488" w:type="dxa"/>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09D58687"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63BF6">
              <w:rPr>
                <w:rFonts w:ascii="Times New Roman" w:eastAsia="Times New Roman" w:hAnsi="Times New Roman" w:cs="Times New Roman"/>
                <w:sz w:val="16"/>
                <w:szCs w:val="16"/>
              </w:rPr>
              <w:t xml:space="preserve">Locational information for each of the 17 sampling locations. “OS” refers to pelagic locations (i.e., “Offshore”), whereas other site abbreviations refer to littoral sampling locations. </w:t>
            </w:r>
          </w:p>
        </w:tc>
      </w:tr>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223BBC67" w:rsidR="00715D55" w:rsidRDefault="00920A8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8B778A2" wp14:editId="7FE5086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0C8F6AED"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contains approximately 2,000 permanent residents, although it experiences a transient tourist population of approximately </w:t>
      </w:r>
      <w:r w:rsidR="000318B7">
        <w:rPr>
          <w:rFonts w:ascii="Times New Roman" w:eastAsia="Times New Roman" w:hAnsi="Times New Roman" w:cs="Times New Roman"/>
          <w:sz w:val="24"/>
          <w:szCs w:val="24"/>
        </w:rPr>
        <w:t>1.2 million</w:t>
      </w:r>
      <w:r>
        <w:rPr>
          <w:rFonts w:ascii="Times New Roman" w:eastAsia="Times New Roman" w:hAnsi="Times New Roman" w:cs="Times New Roman"/>
          <w:sz w:val="24"/>
          <w:szCs w:val="24"/>
        </w:rPr>
        <w:t xml:space="preserve"> people annually.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contains approximately </w:t>
      </w:r>
      <w:r w:rsidR="00DE0012">
        <w:rPr>
          <w:rFonts w:ascii="Times New Roman" w:eastAsia="Times New Roman" w:hAnsi="Times New Roman" w:cs="Times New Roman"/>
          <w:sz w:val="24"/>
          <w:szCs w:val="24"/>
        </w:rPr>
        <w:t>80</w:t>
      </w:r>
      <w:r>
        <w:rPr>
          <w:rFonts w:ascii="Times New Roman" w:eastAsia="Times New Roman" w:hAnsi="Times New Roman" w:cs="Times New Roman"/>
          <w:sz w:val="24"/>
          <w:szCs w:val="24"/>
        </w:rPr>
        <w:t xml:space="preserve"> permanent 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has approximately 600 permanent residents and remains relatively consistent throughout the year.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7">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tbl>
      <w:tblPr>
        <w:tblStyle w:val="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3CF7EB2D"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B14EA0" w14:paraId="602B841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A4CEAE4" w14:textId="0D1A799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2304.04</w:t>
            </w:r>
          </w:p>
        </w:tc>
        <w:tc>
          <w:tcPr>
            <w:tcW w:w="941" w:type="dxa"/>
            <w:tcMar>
              <w:top w:w="100" w:type="dxa"/>
              <w:left w:w="100" w:type="dxa"/>
              <w:bottom w:w="100" w:type="dxa"/>
              <w:right w:w="100" w:type="dxa"/>
            </w:tcMar>
            <w:vAlign w:val="bottom"/>
          </w:tcPr>
          <w:p w14:paraId="73DC295B" w14:textId="63876A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0C0E3696"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9CECD3F" w14:textId="3C1B6A2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1891.56</w:t>
            </w:r>
          </w:p>
        </w:tc>
        <w:tc>
          <w:tcPr>
            <w:tcW w:w="941" w:type="dxa"/>
            <w:tcMar>
              <w:top w:w="100" w:type="dxa"/>
              <w:left w:w="100" w:type="dxa"/>
              <w:bottom w:w="100" w:type="dxa"/>
              <w:right w:w="100" w:type="dxa"/>
            </w:tcMar>
            <w:vAlign w:val="bottom"/>
          </w:tcPr>
          <w:p w14:paraId="0DA4F315" w14:textId="65A2DE9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F2EAC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6057125F" w14:textId="5DA19F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1231.23</w:t>
            </w:r>
          </w:p>
        </w:tc>
        <w:tc>
          <w:tcPr>
            <w:tcW w:w="941" w:type="dxa"/>
            <w:tcMar>
              <w:top w:w="100" w:type="dxa"/>
              <w:left w:w="100" w:type="dxa"/>
              <w:bottom w:w="100" w:type="dxa"/>
              <w:right w:w="100" w:type="dxa"/>
            </w:tcMar>
            <w:vAlign w:val="bottom"/>
          </w:tcPr>
          <w:p w14:paraId="0768B4F6" w14:textId="76A59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22454E7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5E60DA2E" w14:textId="2AE6F51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838.54</w:t>
            </w:r>
          </w:p>
        </w:tc>
        <w:tc>
          <w:tcPr>
            <w:tcW w:w="941" w:type="dxa"/>
            <w:tcMar>
              <w:top w:w="100" w:type="dxa"/>
              <w:left w:w="100" w:type="dxa"/>
              <w:bottom w:w="100" w:type="dxa"/>
              <w:right w:w="100" w:type="dxa"/>
            </w:tcMar>
            <w:vAlign w:val="bottom"/>
          </w:tcPr>
          <w:p w14:paraId="449EFC64" w14:textId="3387A8E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FEE3A2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092BAA4" w14:textId="7FC6447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611.91</w:t>
            </w:r>
          </w:p>
        </w:tc>
        <w:tc>
          <w:tcPr>
            <w:tcW w:w="941" w:type="dxa"/>
            <w:tcMar>
              <w:top w:w="100" w:type="dxa"/>
              <w:left w:w="100" w:type="dxa"/>
              <w:bottom w:w="100" w:type="dxa"/>
              <w:right w:w="100" w:type="dxa"/>
            </w:tcMar>
            <w:vAlign w:val="bottom"/>
          </w:tcPr>
          <w:p w14:paraId="080EEEDD" w14:textId="7D43942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19D32BCB"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470C85E" w14:textId="621CB2E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624.45</w:t>
            </w:r>
          </w:p>
        </w:tc>
        <w:tc>
          <w:tcPr>
            <w:tcW w:w="941" w:type="dxa"/>
            <w:tcMar>
              <w:top w:w="100" w:type="dxa"/>
              <w:left w:w="100" w:type="dxa"/>
              <w:bottom w:w="100" w:type="dxa"/>
              <w:right w:w="100" w:type="dxa"/>
            </w:tcMar>
            <w:vAlign w:val="bottom"/>
          </w:tcPr>
          <w:p w14:paraId="65C38BB2" w14:textId="4BBD3824"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4F4E8352"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vAlign w:val="bottom"/>
          </w:tcPr>
          <w:p w14:paraId="3F77A378" w14:textId="3398A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455.77</w:t>
            </w:r>
          </w:p>
        </w:tc>
        <w:tc>
          <w:tcPr>
            <w:tcW w:w="941" w:type="dxa"/>
            <w:tcMar>
              <w:top w:w="100" w:type="dxa"/>
              <w:left w:w="100" w:type="dxa"/>
              <w:bottom w:w="100" w:type="dxa"/>
              <w:right w:w="100" w:type="dxa"/>
            </w:tcMar>
            <w:vAlign w:val="bottom"/>
          </w:tcPr>
          <w:p w14:paraId="6BC713C6" w14:textId="1926D8F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DD6660F"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1B31A7C0" w14:textId="69E0041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662.42</w:t>
            </w:r>
          </w:p>
        </w:tc>
        <w:tc>
          <w:tcPr>
            <w:tcW w:w="941" w:type="dxa"/>
            <w:tcMar>
              <w:top w:w="100" w:type="dxa"/>
              <w:left w:w="100" w:type="dxa"/>
              <w:bottom w:w="100" w:type="dxa"/>
              <w:right w:w="100" w:type="dxa"/>
            </w:tcMar>
            <w:vAlign w:val="bottom"/>
          </w:tcPr>
          <w:p w14:paraId="5AFD2DE4" w14:textId="5CE1EC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5664F199"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12A0E6B" w14:textId="6684C39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720.55</w:t>
            </w:r>
          </w:p>
        </w:tc>
        <w:tc>
          <w:tcPr>
            <w:tcW w:w="941" w:type="dxa"/>
            <w:tcMar>
              <w:top w:w="100" w:type="dxa"/>
              <w:left w:w="100" w:type="dxa"/>
              <w:bottom w:w="100" w:type="dxa"/>
              <w:right w:w="100" w:type="dxa"/>
            </w:tcMar>
            <w:vAlign w:val="bottom"/>
          </w:tcPr>
          <w:p w14:paraId="3577F7A9" w14:textId="50B3D45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607A8533"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0BBDF49E" w14:textId="21BE06D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903.67</w:t>
            </w:r>
          </w:p>
        </w:tc>
        <w:tc>
          <w:tcPr>
            <w:tcW w:w="941" w:type="dxa"/>
            <w:tcMar>
              <w:top w:w="100" w:type="dxa"/>
              <w:left w:w="100" w:type="dxa"/>
              <w:bottom w:w="100" w:type="dxa"/>
              <w:right w:w="100" w:type="dxa"/>
            </w:tcMar>
            <w:vAlign w:val="bottom"/>
          </w:tcPr>
          <w:p w14:paraId="115E0F38" w14:textId="41B7B0B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2F94143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9EDE835" w14:textId="4DD9279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2146.22</w:t>
            </w:r>
          </w:p>
        </w:tc>
        <w:tc>
          <w:tcPr>
            <w:tcW w:w="941" w:type="dxa"/>
            <w:tcMar>
              <w:top w:w="100" w:type="dxa"/>
              <w:left w:w="100" w:type="dxa"/>
              <w:bottom w:w="100" w:type="dxa"/>
              <w:right w:w="100" w:type="dxa"/>
            </w:tcMar>
            <w:vAlign w:val="bottom"/>
          </w:tcPr>
          <w:p w14:paraId="26F21172" w14:textId="16F7E387"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CDEEC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vAlign w:val="bottom"/>
          </w:tcPr>
          <w:p w14:paraId="3DE3418C" w14:textId="67156BE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5403.21</w:t>
            </w:r>
          </w:p>
        </w:tc>
        <w:tc>
          <w:tcPr>
            <w:tcW w:w="941" w:type="dxa"/>
            <w:tcMar>
              <w:top w:w="100" w:type="dxa"/>
              <w:left w:w="100" w:type="dxa"/>
              <w:bottom w:w="100" w:type="dxa"/>
              <w:right w:w="100" w:type="dxa"/>
            </w:tcMar>
            <w:vAlign w:val="bottom"/>
          </w:tcPr>
          <w:p w14:paraId="525660D7" w14:textId="416FB35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422C752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17205EA" w14:textId="748427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14792.51</w:t>
            </w:r>
          </w:p>
        </w:tc>
        <w:tc>
          <w:tcPr>
            <w:tcW w:w="941" w:type="dxa"/>
            <w:tcMar>
              <w:top w:w="100" w:type="dxa"/>
              <w:left w:w="100" w:type="dxa"/>
              <w:bottom w:w="100" w:type="dxa"/>
              <w:right w:w="100" w:type="dxa"/>
            </w:tcMar>
            <w:vAlign w:val="bottom"/>
          </w:tcPr>
          <w:p w14:paraId="2E59B2C8" w14:textId="0D207B8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97B84F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B99A9FE" w14:textId="3BF7169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29511.73</w:t>
            </w:r>
          </w:p>
        </w:tc>
        <w:tc>
          <w:tcPr>
            <w:tcW w:w="941" w:type="dxa"/>
            <w:tcMar>
              <w:top w:w="100" w:type="dxa"/>
              <w:left w:w="100" w:type="dxa"/>
              <w:bottom w:w="100" w:type="dxa"/>
              <w:right w:w="100" w:type="dxa"/>
            </w:tcMar>
            <w:vAlign w:val="bottom"/>
          </w:tcPr>
          <w:p w14:paraId="711B2586" w14:textId="0BE2A8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0DB5C5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D32341E" w14:textId="00E9DA8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3389.95</w:t>
            </w:r>
          </w:p>
        </w:tc>
        <w:tc>
          <w:tcPr>
            <w:tcW w:w="941" w:type="dxa"/>
            <w:tcMar>
              <w:top w:w="100" w:type="dxa"/>
              <w:left w:w="100" w:type="dxa"/>
              <w:bottom w:w="100" w:type="dxa"/>
              <w:right w:w="100" w:type="dxa"/>
            </w:tcMar>
            <w:vAlign w:val="bottom"/>
          </w:tcPr>
          <w:p w14:paraId="0A065AF0" w14:textId="10AB041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5317B0CE"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43F2927" w14:textId="517CC4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4340.00</w:t>
            </w:r>
          </w:p>
        </w:tc>
        <w:tc>
          <w:tcPr>
            <w:tcW w:w="941" w:type="dxa"/>
            <w:tcMar>
              <w:top w:w="100" w:type="dxa"/>
              <w:left w:w="100" w:type="dxa"/>
              <w:bottom w:w="100" w:type="dxa"/>
              <w:right w:w="100" w:type="dxa"/>
            </w:tcMar>
            <w:vAlign w:val="bottom"/>
          </w:tcPr>
          <w:p w14:paraId="561A8972" w14:textId="46C603DF"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10AA3A2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EBEDFE6" w14:textId="552E82E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1221.42</w:t>
            </w:r>
          </w:p>
        </w:tc>
        <w:tc>
          <w:tcPr>
            <w:tcW w:w="941" w:type="dxa"/>
            <w:tcMar>
              <w:top w:w="100" w:type="dxa"/>
              <w:left w:w="100" w:type="dxa"/>
              <w:bottom w:w="100" w:type="dxa"/>
              <w:right w:w="100" w:type="dxa"/>
            </w:tcMar>
            <w:vAlign w:val="bottom"/>
          </w:tcPr>
          <w:p w14:paraId="3BA05358" w14:textId="5A1F30B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618FCBE3"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1C4A6FF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N15 (B),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Total PPCP concentrations (A), N15 (B), and phosphorus (C) produced significant models. Chlorophyll a (D), Nitrate (E), Total Microplastics (F), Ammonium (G), and Microplastic Density (H) did not produce significant models. </w:t>
      </w:r>
      <w:r w:rsidR="00D8535D">
        <w:br w:type="page"/>
      </w:r>
    </w:p>
    <w:p w14:paraId="5AD8598F" w14:textId="36E2C11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61F8B10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PERMANOVA confirmed the three groups to be significantly different (p = 0.023).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2BCE337C"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(see Table 2).</w:t>
      </w:r>
      <w:r w:rsidR="00D8535D">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72957A6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deviation C13 and N15 stable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in C13 or N15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D8535D">
        <w:rPr>
          <w:rFonts w:ascii="Times New Roman" w:eastAsia="Times New Roman" w:hAnsi="Times New Roman" w:cs="Times New Roman"/>
          <w:sz w:val="24"/>
          <w:szCs w:val="24"/>
        </w:rPr>
        <w:t xml:space="preserve"> N15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Pr>
          <w:rFonts w:ascii="Times New Roman" w:eastAsia="Times New Roman" w:hAnsi="Times New Roman" w:cs="Times New Roman"/>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7FC6ABBC"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20000287" w:usb1="00000000"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18B7"/>
    <w:rsid w:val="00036CEC"/>
    <w:rsid w:val="00051082"/>
    <w:rsid w:val="00060EB5"/>
    <w:rsid w:val="000803B9"/>
    <w:rsid w:val="0008134F"/>
    <w:rsid w:val="00090369"/>
    <w:rsid w:val="0009268E"/>
    <w:rsid w:val="00092E59"/>
    <w:rsid w:val="00094852"/>
    <w:rsid w:val="000B4975"/>
    <w:rsid w:val="000B5308"/>
    <w:rsid w:val="000B5B9E"/>
    <w:rsid w:val="000C2C76"/>
    <w:rsid w:val="000C5619"/>
    <w:rsid w:val="000D0804"/>
    <w:rsid w:val="000D4AC4"/>
    <w:rsid w:val="000D6577"/>
    <w:rsid w:val="000E056C"/>
    <w:rsid w:val="000E5A9F"/>
    <w:rsid w:val="000E7380"/>
    <w:rsid w:val="000F223A"/>
    <w:rsid w:val="000F2398"/>
    <w:rsid w:val="000F601A"/>
    <w:rsid w:val="000F7A09"/>
    <w:rsid w:val="00106752"/>
    <w:rsid w:val="00110977"/>
    <w:rsid w:val="0011485F"/>
    <w:rsid w:val="00115FCB"/>
    <w:rsid w:val="00123693"/>
    <w:rsid w:val="001249C1"/>
    <w:rsid w:val="00131BD0"/>
    <w:rsid w:val="0014730F"/>
    <w:rsid w:val="00147D1A"/>
    <w:rsid w:val="00150E6F"/>
    <w:rsid w:val="00154ABA"/>
    <w:rsid w:val="00155633"/>
    <w:rsid w:val="001742BF"/>
    <w:rsid w:val="00180C02"/>
    <w:rsid w:val="001910E2"/>
    <w:rsid w:val="00191128"/>
    <w:rsid w:val="00191B6C"/>
    <w:rsid w:val="00191FD0"/>
    <w:rsid w:val="001936D1"/>
    <w:rsid w:val="00195B09"/>
    <w:rsid w:val="00197C8D"/>
    <w:rsid w:val="001A1BBB"/>
    <w:rsid w:val="001A726E"/>
    <w:rsid w:val="001B7B02"/>
    <w:rsid w:val="001C6CA2"/>
    <w:rsid w:val="001C70B0"/>
    <w:rsid w:val="001D454C"/>
    <w:rsid w:val="001E1889"/>
    <w:rsid w:val="001E2084"/>
    <w:rsid w:val="001E6425"/>
    <w:rsid w:val="001F0393"/>
    <w:rsid w:val="00205279"/>
    <w:rsid w:val="00222599"/>
    <w:rsid w:val="00222A8A"/>
    <w:rsid w:val="002249CB"/>
    <w:rsid w:val="00224E1E"/>
    <w:rsid w:val="00225EC8"/>
    <w:rsid w:val="002309D1"/>
    <w:rsid w:val="002313BC"/>
    <w:rsid w:val="00232F99"/>
    <w:rsid w:val="00233CA3"/>
    <w:rsid w:val="00236ED5"/>
    <w:rsid w:val="002424DE"/>
    <w:rsid w:val="00250FD8"/>
    <w:rsid w:val="00252F80"/>
    <w:rsid w:val="00263FB9"/>
    <w:rsid w:val="002703B2"/>
    <w:rsid w:val="00274B1A"/>
    <w:rsid w:val="002849B1"/>
    <w:rsid w:val="00287F90"/>
    <w:rsid w:val="00292741"/>
    <w:rsid w:val="002A02BE"/>
    <w:rsid w:val="002B00A3"/>
    <w:rsid w:val="002C1737"/>
    <w:rsid w:val="002C2D2B"/>
    <w:rsid w:val="002C5913"/>
    <w:rsid w:val="002D1941"/>
    <w:rsid w:val="002E06DD"/>
    <w:rsid w:val="002E1A4B"/>
    <w:rsid w:val="002E6D0A"/>
    <w:rsid w:val="002F1C07"/>
    <w:rsid w:val="00324C64"/>
    <w:rsid w:val="00337791"/>
    <w:rsid w:val="00357863"/>
    <w:rsid w:val="00357C12"/>
    <w:rsid w:val="00363613"/>
    <w:rsid w:val="00370B28"/>
    <w:rsid w:val="00373E7B"/>
    <w:rsid w:val="00375241"/>
    <w:rsid w:val="00381463"/>
    <w:rsid w:val="00383BCD"/>
    <w:rsid w:val="00394A8C"/>
    <w:rsid w:val="003952A3"/>
    <w:rsid w:val="003968BB"/>
    <w:rsid w:val="003A3B7A"/>
    <w:rsid w:val="003C6606"/>
    <w:rsid w:val="003C75C7"/>
    <w:rsid w:val="003D0265"/>
    <w:rsid w:val="003E20DA"/>
    <w:rsid w:val="003E64B9"/>
    <w:rsid w:val="004003EB"/>
    <w:rsid w:val="00412374"/>
    <w:rsid w:val="00414172"/>
    <w:rsid w:val="00434F66"/>
    <w:rsid w:val="004361D1"/>
    <w:rsid w:val="00440246"/>
    <w:rsid w:val="0044127F"/>
    <w:rsid w:val="00443249"/>
    <w:rsid w:val="00446481"/>
    <w:rsid w:val="004514AB"/>
    <w:rsid w:val="004528BA"/>
    <w:rsid w:val="004542F0"/>
    <w:rsid w:val="0045518D"/>
    <w:rsid w:val="00456A8D"/>
    <w:rsid w:val="004668F9"/>
    <w:rsid w:val="00467C66"/>
    <w:rsid w:val="00481314"/>
    <w:rsid w:val="00485A2C"/>
    <w:rsid w:val="00491178"/>
    <w:rsid w:val="004943CA"/>
    <w:rsid w:val="00494B20"/>
    <w:rsid w:val="0049543D"/>
    <w:rsid w:val="00497A12"/>
    <w:rsid w:val="004A1C07"/>
    <w:rsid w:val="004A5D54"/>
    <w:rsid w:val="004A728E"/>
    <w:rsid w:val="004B3908"/>
    <w:rsid w:val="004B4081"/>
    <w:rsid w:val="004B5E84"/>
    <w:rsid w:val="004B79EC"/>
    <w:rsid w:val="004C1747"/>
    <w:rsid w:val="004D4D41"/>
    <w:rsid w:val="004E481A"/>
    <w:rsid w:val="004F577D"/>
    <w:rsid w:val="005068F3"/>
    <w:rsid w:val="00512766"/>
    <w:rsid w:val="00514479"/>
    <w:rsid w:val="005308B4"/>
    <w:rsid w:val="00532522"/>
    <w:rsid w:val="00536BE1"/>
    <w:rsid w:val="0054796C"/>
    <w:rsid w:val="00553A61"/>
    <w:rsid w:val="00555EF1"/>
    <w:rsid w:val="00557916"/>
    <w:rsid w:val="005613D8"/>
    <w:rsid w:val="00563BF6"/>
    <w:rsid w:val="0056418A"/>
    <w:rsid w:val="005731EE"/>
    <w:rsid w:val="00574762"/>
    <w:rsid w:val="005855F7"/>
    <w:rsid w:val="00585EED"/>
    <w:rsid w:val="00587BE1"/>
    <w:rsid w:val="00597E12"/>
    <w:rsid w:val="005A573D"/>
    <w:rsid w:val="005A6C99"/>
    <w:rsid w:val="005B362F"/>
    <w:rsid w:val="005C1322"/>
    <w:rsid w:val="005D3D2A"/>
    <w:rsid w:val="005F4343"/>
    <w:rsid w:val="005F618B"/>
    <w:rsid w:val="005F6DEA"/>
    <w:rsid w:val="005F7A18"/>
    <w:rsid w:val="006256FC"/>
    <w:rsid w:val="00626543"/>
    <w:rsid w:val="006300F4"/>
    <w:rsid w:val="00641CE6"/>
    <w:rsid w:val="00641D70"/>
    <w:rsid w:val="00644808"/>
    <w:rsid w:val="00645829"/>
    <w:rsid w:val="00650752"/>
    <w:rsid w:val="00651D3A"/>
    <w:rsid w:val="006563E3"/>
    <w:rsid w:val="00672B30"/>
    <w:rsid w:val="00673CE2"/>
    <w:rsid w:val="006752D5"/>
    <w:rsid w:val="00685D80"/>
    <w:rsid w:val="00690E7D"/>
    <w:rsid w:val="006A7A61"/>
    <w:rsid w:val="006B1D2B"/>
    <w:rsid w:val="006B3ABE"/>
    <w:rsid w:val="006B4A02"/>
    <w:rsid w:val="006C6420"/>
    <w:rsid w:val="006D1C9C"/>
    <w:rsid w:val="006D2328"/>
    <w:rsid w:val="006D26E7"/>
    <w:rsid w:val="006D35AC"/>
    <w:rsid w:val="006D5521"/>
    <w:rsid w:val="006E0A52"/>
    <w:rsid w:val="006E42C8"/>
    <w:rsid w:val="006E5C66"/>
    <w:rsid w:val="006F1DAD"/>
    <w:rsid w:val="006F5F57"/>
    <w:rsid w:val="00715D55"/>
    <w:rsid w:val="007273EE"/>
    <w:rsid w:val="00732999"/>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705A"/>
    <w:rsid w:val="007D2FF3"/>
    <w:rsid w:val="007D3AD5"/>
    <w:rsid w:val="007E0747"/>
    <w:rsid w:val="007E0849"/>
    <w:rsid w:val="007E2F25"/>
    <w:rsid w:val="007E6282"/>
    <w:rsid w:val="007F226F"/>
    <w:rsid w:val="007F5F4A"/>
    <w:rsid w:val="00801579"/>
    <w:rsid w:val="00811F9F"/>
    <w:rsid w:val="0081388E"/>
    <w:rsid w:val="0081508A"/>
    <w:rsid w:val="00833288"/>
    <w:rsid w:val="00833C11"/>
    <w:rsid w:val="008363E4"/>
    <w:rsid w:val="00874EDD"/>
    <w:rsid w:val="00877064"/>
    <w:rsid w:val="00885BA6"/>
    <w:rsid w:val="008A18BF"/>
    <w:rsid w:val="008A299A"/>
    <w:rsid w:val="008A5647"/>
    <w:rsid w:val="008A7669"/>
    <w:rsid w:val="008B16F2"/>
    <w:rsid w:val="008C64AE"/>
    <w:rsid w:val="008C6721"/>
    <w:rsid w:val="008D6D41"/>
    <w:rsid w:val="008E397A"/>
    <w:rsid w:val="008E5D3D"/>
    <w:rsid w:val="008E7730"/>
    <w:rsid w:val="008F41D6"/>
    <w:rsid w:val="009007E8"/>
    <w:rsid w:val="00902608"/>
    <w:rsid w:val="00905270"/>
    <w:rsid w:val="0091395E"/>
    <w:rsid w:val="00920A8F"/>
    <w:rsid w:val="00926704"/>
    <w:rsid w:val="00947C9E"/>
    <w:rsid w:val="00956343"/>
    <w:rsid w:val="009654BD"/>
    <w:rsid w:val="00965CCB"/>
    <w:rsid w:val="00970A1D"/>
    <w:rsid w:val="00986022"/>
    <w:rsid w:val="009A2585"/>
    <w:rsid w:val="009A6AFC"/>
    <w:rsid w:val="009A7491"/>
    <w:rsid w:val="009B13E0"/>
    <w:rsid w:val="009B2C39"/>
    <w:rsid w:val="009B7513"/>
    <w:rsid w:val="009C3612"/>
    <w:rsid w:val="009C6B78"/>
    <w:rsid w:val="009C78FF"/>
    <w:rsid w:val="009D0DDD"/>
    <w:rsid w:val="009D5F26"/>
    <w:rsid w:val="009D6A53"/>
    <w:rsid w:val="009F0747"/>
    <w:rsid w:val="009F1393"/>
    <w:rsid w:val="009F4AEC"/>
    <w:rsid w:val="009F5340"/>
    <w:rsid w:val="009F5671"/>
    <w:rsid w:val="00A011BB"/>
    <w:rsid w:val="00A10D0E"/>
    <w:rsid w:val="00A22275"/>
    <w:rsid w:val="00A254FA"/>
    <w:rsid w:val="00A41CC6"/>
    <w:rsid w:val="00A42BBE"/>
    <w:rsid w:val="00A454D8"/>
    <w:rsid w:val="00A6440C"/>
    <w:rsid w:val="00A825BE"/>
    <w:rsid w:val="00A87BAC"/>
    <w:rsid w:val="00A91AE6"/>
    <w:rsid w:val="00A92B32"/>
    <w:rsid w:val="00A9628E"/>
    <w:rsid w:val="00AB7989"/>
    <w:rsid w:val="00AC75E6"/>
    <w:rsid w:val="00AE06B7"/>
    <w:rsid w:val="00AE6372"/>
    <w:rsid w:val="00AF0312"/>
    <w:rsid w:val="00AF6212"/>
    <w:rsid w:val="00B025E9"/>
    <w:rsid w:val="00B05791"/>
    <w:rsid w:val="00B07246"/>
    <w:rsid w:val="00B11017"/>
    <w:rsid w:val="00B14EA0"/>
    <w:rsid w:val="00B15F86"/>
    <w:rsid w:val="00B1679D"/>
    <w:rsid w:val="00B2468C"/>
    <w:rsid w:val="00B24F30"/>
    <w:rsid w:val="00B37098"/>
    <w:rsid w:val="00B417BC"/>
    <w:rsid w:val="00B55E36"/>
    <w:rsid w:val="00B63560"/>
    <w:rsid w:val="00B66C34"/>
    <w:rsid w:val="00B70844"/>
    <w:rsid w:val="00B72507"/>
    <w:rsid w:val="00B7339C"/>
    <w:rsid w:val="00B77BC2"/>
    <w:rsid w:val="00B803E2"/>
    <w:rsid w:val="00B9280F"/>
    <w:rsid w:val="00B97CFE"/>
    <w:rsid w:val="00BC1A91"/>
    <w:rsid w:val="00BC24F4"/>
    <w:rsid w:val="00BD0B70"/>
    <w:rsid w:val="00BD3210"/>
    <w:rsid w:val="00BD46C3"/>
    <w:rsid w:val="00BE06D7"/>
    <w:rsid w:val="00BE27F7"/>
    <w:rsid w:val="00BF09EC"/>
    <w:rsid w:val="00C03D31"/>
    <w:rsid w:val="00C053B8"/>
    <w:rsid w:val="00C131EF"/>
    <w:rsid w:val="00C239E7"/>
    <w:rsid w:val="00C30C70"/>
    <w:rsid w:val="00C33FF9"/>
    <w:rsid w:val="00C345FA"/>
    <w:rsid w:val="00C34AFE"/>
    <w:rsid w:val="00C34B80"/>
    <w:rsid w:val="00C44829"/>
    <w:rsid w:val="00C451C6"/>
    <w:rsid w:val="00C52786"/>
    <w:rsid w:val="00C53DAE"/>
    <w:rsid w:val="00C62CCF"/>
    <w:rsid w:val="00C815A8"/>
    <w:rsid w:val="00C842B9"/>
    <w:rsid w:val="00C96C19"/>
    <w:rsid w:val="00CA6980"/>
    <w:rsid w:val="00CA7C4B"/>
    <w:rsid w:val="00CB3C43"/>
    <w:rsid w:val="00CC0781"/>
    <w:rsid w:val="00CC0FCC"/>
    <w:rsid w:val="00CC139B"/>
    <w:rsid w:val="00CE567A"/>
    <w:rsid w:val="00CF2299"/>
    <w:rsid w:val="00CF3363"/>
    <w:rsid w:val="00D05946"/>
    <w:rsid w:val="00D0773C"/>
    <w:rsid w:val="00D13058"/>
    <w:rsid w:val="00D20ACE"/>
    <w:rsid w:val="00D22D4D"/>
    <w:rsid w:val="00D2684E"/>
    <w:rsid w:val="00D271DE"/>
    <w:rsid w:val="00D37BB9"/>
    <w:rsid w:val="00D401B9"/>
    <w:rsid w:val="00D438C7"/>
    <w:rsid w:val="00D52D89"/>
    <w:rsid w:val="00D53E5C"/>
    <w:rsid w:val="00D631E0"/>
    <w:rsid w:val="00D63D31"/>
    <w:rsid w:val="00D71D8A"/>
    <w:rsid w:val="00D72E69"/>
    <w:rsid w:val="00D77EA1"/>
    <w:rsid w:val="00D80F94"/>
    <w:rsid w:val="00D81354"/>
    <w:rsid w:val="00D8535D"/>
    <w:rsid w:val="00D96D3B"/>
    <w:rsid w:val="00DA2137"/>
    <w:rsid w:val="00DB467B"/>
    <w:rsid w:val="00DC6FEA"/>
    <w:rsid w:val="00DD46CA"/>
    <w:rsid w:val="00DD6A3F"/>
    <w:rsid w:val="00DE0012"/>
    <w:rsid w:val="00DF77C2"/>
    <w:rsid w:val="00DF7AD2"/>
    <w:rsid w:val="00E01811"/>
    <w:rsid w:val="00E04D43"/>
    <w:rsid w:val="00E11A7E"/>
    <w:rsid w:val="00E42EE1"/>
    <w:rsid w:val="00E45EB1"/>
    <w:rsid w:val="00E479B7"/>
    <w:rsid w:val="00E55C6C"/>
    <w:rsid w:val="00E57A4D"/>
    <w:rsid w:val="00E61E5E"/>
    <w:rsid w:val="00E63B3C"/>
    <w:rsid w:val="00E72E55"/>
    <w:rsid w:val="00E76385"/>
    <w:rsid w:val="00E8665D"/>
    <w:rsid w:val="00E86FF8"/>
    <w:rsid w:val="00E9349B"/>
    <w:rsid w:val="00E97A2F"/>
    <w:rsid w:val="00EA5EAE"/>
    <w:rsid w:val="00EC59E6"/>
    <w:rsid w:val="00ED3AB0"/>
    <w:rsid w:val="00ED3EE8"/>
    <w:rsid w:val="00ED7A0F"/>
    <w:rsid w:val="00EE3ABB"/>
    <w:rsid w:val="00EE40C5"/>
    <w:rsid w:val="00EE52D2"/>
    <w:rsid w:val="00EE5D2F"/>
    <w:rsid w:val="00EF22B5"/>
    <w:rsid w:val="00EF4024"/>
    <w:rsid w:val="00EF7A40"/>
    <w:rsid w:val="00F01527"/>
    <w:rsid w:val="00F0768F"/>
    <w:rsid w:val="00F07CCB"/>
    <w:rsid w:val="00F23BF5"/>
    <w:rsid w:val="00F25311"/>
    <w:rsid w:val="00F34A1E"/>
    <w:rsid w:val="00F5144C"/>
    <w:rsid w:val="00F536BA"/>
    <w:rsid w:val="00F622F3"/>
    <w:rsid w:val="00F62B41"/>
    <w:rsid w:val="00F731DF"/>
    <w:rsid w:val="00F95006"/>
    <w:rsid w:val="00F979A0"/>
    <w:rsid w:val="00FA07C4"/>
    <w:rsid w:val="00FA6158"/>
    <w:rsid w:val="00FB2BAF"/>
    <w:rsid w:val="00FC3707"/>
    <w:rsid w:val="00FC5D9D"/>
    <w:rsid w:val="00FC7BD4"/>
    <w:rsid w:val="00FD39D2"/>
    <w:rsid w:val="00FE35CB"/>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D1B13-DDE7-4BA8-A682-15A5DE13C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42179</Words>
  <Characters>240426</Characters>
  <Application>Microsoft Office Word</Application>
  <DocSecurity>0</DocSecurity>
  <Lines>2003</Lines>
  <Paragraphs>564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282041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3</cp:revision>
  <cp:lastPrinted>2020-06-19T17:44:00Z</cp:lastPrinted>
  <dcterms:created xsi:type="dcterms:W3CDTF">2020-06-21T21:44:00Z</dcterms:created>
  <dcterms:modified xsi:type="dcterms:W3CDTF">2020-06-22T15:55:00Z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id="bwWjsH4H"/&gt;&lt;style id="http://www.zotero.org/styles/limnology-and-oceanography" hasBibliography="1" bibliographyStyleHasBeenSet="1"/&gt;&lt;prefs&gt;&lt;pref name="fieldType" value="Field"/&gt;&lt;/prefs&gt;&lt;/data&gt;</vt:lpwstr>
  </property>
</Properties>
</file>