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928B0" w14:textId="77777777" w:rsidR="00CC26DD" w:rsidRDefault="00CC26DD" w:rsidP="00CC26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6B3AAAD9" w14:textId="77777777" w:rsidR="00CC26DD" w:rsidRDefault="00CC26DD" w:rsidP="00CC26DD">
      <w:pPr>
        <w:rPr>
          <w:rFonts w:ascii="Times New Roman" w:eastAsia="Times New Roman" w:hAnsi="Times New Roman" w:cs="Times New Roman"/>
          <w:b/>
          <w:sz w:val="24"/>
          <w:szCs w:val="24"/>
        </w:rPr>
      </w:pPr>
    </w:p>
    <w:p w14:paraId="44B9288A" w14:textId="77777777" w:rsidR="00CC26DD" w:rsidRDefault="00CC26DD" w:rsidP="00CC26DD">
      <w:pPr>
        <w:pStyle w:val="ListParagraph"/>
        <w:numPr>
          <w:ilvl w:val="0"/>
          <w:numId w:val="1"/>
        </w:numPr>
        <w:rPr>
          <w:rFonts w:ascii="Times New Roman" w:eastAsia="Times New Roman" w:hAnsi="Times New Roman" w:cs="Times New Roman"/>
          <w:i/>
          <w:sz w:val="24"/>
          <w:szCs w:val="24"/>
        </w:rPr>
      </w:pPr>
      <w:r w:rsidRPr="007E6282">
        <w:rPr>
          <w:rFonts w:ascii="Times New Roman" w:eastAsia="Times New Roman" w:hAnsi="Times New Roman" w:cs="Times New Roman"/>
          <w:i/>
          <w:sz w:val="24"/>
          <w:szCs w:val="24"/>
        </w:rPr>
        <w:t>Site description</w:t>
      </w:r>
    </w:p>
    <w:p w14:paraId="0E550A95" w14:textId="77777777" w:rsidR="00CC26DD" w:rsidRPr="007E6282" w:rsidRDefault="00CC26DD" w:rsidP="00CC26DD">
      <w:pPr>
        <w:rPr>
          <w:rFonts w:ascii="Times New Roman" w:eastAsia="Times New Roman" w:hAnsi="Times New Roman" w:cs="Times New Roman"/>
          <w:i/>
          <w:sz w:val="24"/>
          <w:szCs w:val="24"/>
        </w:rPr>
      </w:pPr>
    </w:p>
    <w:p w14:paraId="6F839E70" w14:textId="77777777" w:rsidR="00CC26DD" w:rsidRDefault="00CC26DD" w:rsidP="00CC26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vast majority of Lake Baikal’s 2,100-km shoreline lacks lakeside development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{"citationID":"XS45zE9h","properties":{"formattedCitation":"(Moore et al. 2009; Timoshkin et al. 2016)","plainCitation":"(Moore et al. 2009; Timoshkin et al. 2016)","noteIndex":0},"citationItems":[{"id":31,"uris":["http://zotero.org/users/2645460/items/6PZMRVBD"],"uri":["http://zotero.org/users/2645460/items/6PZMRVBD"],"itemData":{"id":31,"type":"article-journal","container-title":"Bioscience","DOI":"10.1525/bio.2009.59.5.8","ISSN":"0006-3568","issue":"5","note":"WOS:000265618500008","page":"405-417","title":"Climate Change and the World's \"Sacred Sea\"-Lake Baikal, Siberia","volume":"59","author":[{"family":"Moore","given":"Marianne V."},{"family":"Hampton","given":"Stephanie E."},{"family":"Izmest'eva","given":"Lyubov R."},{"family":"Silow","given":"Eugene A."},{"family":"Peshkova","given":"Ekaterina V."},{"family":"Pavlov","given":"Boris K."}],"issued":{"date-parts":[["2009",5]]}}},{"id":5,"uris":["http://zotero.org/users/2645460/items/NFAXQ2W2"],"uri":["http://zotero.org/users/2645460/items/NFAXQ2W2"],"itemData":{"id":5,"type":"article-journal","container-title":"Journal of Great Lakes Research","DOI":"10.1016/j.jglr.2016.02.011","ISSN":"0380-1330","issue":"3","note":"WOS:000377556700001","page":"487-497","title":"Rapid ecological change in the coastal zone of Lake Baikal (East Siberia): Is the site of the world's greatest freshwater biodiversity in danger?","volume":"42","author":[{"family":"Timoshkin","given":"O. A."},{"family":"Samsonov","given":"D. P."},{"family":"Yamamuro","given":"M."},{"family":"Moore","given":"M. V."},{"family":"Belykh","given":"O. I."},{"family":"Malnik","given":"V. V."},{"family":"Sakirko","given":"M. V."},{"family":"Shirokaya","given":"A. A."},{"family":"Bondarenko","given":"N. A."},{"family":"Domysheva","given":"V. M."},{"family":"Fedorova","given":"G. A."},{"family":"Kochetkov","given":"A. I."},{"family":"Kuzmin","given":"A. V."},{"family":"Lukhnev","given":"A. G."},{"family":"Medvezhonkova","given":"O. V."},{"family":"Nepokrytykh","given":"A. V."},{"family":"Pasynkova","given":"E. M."},{"family":"Poberezhnaya","given":"A. E."},{"family":"Potapskaya","given":"N. V."},{"family":"Rozhkova","given":"N. A."},{"family":"Sheveleva","given":"N. G."},{"family":"Tikhonova","given":"I. V."},{"family":"Timoshkina","given":"E. M."},{"family":"Tomberg","given":"I. V."},{"family":"Volkova","given":"E. A."},{"family":"Zaitseva","given":"E. P."},{"family":"Zvereva","given":"Yu M."},{"family":"Kupchinsky","given":"A. B."},{"family":"Bukshuk","given":"N. A."}],"issued":{"date-parts":[["2016",6]]}}}],"schema":"https://github.com/citation-style-language/schema/raw/master/csl-citation.json"} </w:instrText>
      </w:r>
      <w:r>
        <w:rPr>
          <w:rFonts w:ascii="Times New Roman" w:eastAsia="Times New Roman" w:hAnsi="Times New Roman" w:cs="Times New Roman"/>
          <w:sz w:val="24"/>
          <w:szCs w:val="24"/>
        </w:rPr>
        <w:fldChar w:fldCharType="separate"/>
      </w:r>
      <w:r w:rsidRPr="00147D1A">
        <w:rPr>
          <w:rFonts w:ascii="Times New Roman" w:hAnsi="Times New Roman" w:cs="Times New Roman"/>
          <w:sz w:val="24"/>
        </w:rPr>
        <w:t>(Moore et al. 2009; Timoshkin et al. 2016)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Our study focused on a 40-km section of Baikal’s southwestern shoreline, which included three settlements of different size (Figure 1). From 19 through 23 August 2015, we sampled 14 littoral and 3 pelagic locations along our 40-km transect. Littoral locations were chosen to capture a range of sites with varying degrees of adjacent shoreline development – from “developed” (along the waterfront of human settlements) to “undeveloped” (no adjacent human settlements and complete forest cover; Figure 1; Figure 2; Table 1). Pelagic sites were located 2 to 5 km offshore from each of the developed sites in water depths of 900-1300 m (Figure 1; Table 1). Littoral sites were sampled at approximately the same depth (~1.25 m) at a distance of 8.9-20.75 m from shore (Table 1). At each site, air temperature was measured with a mercury thermometer, and photographs were taken of the substrate and the shoreline.</w:t>
      </w:r>
    </w:p>
    <w:p w14:paraId="27622440" w14:textId="77777777" w:rsidR="00CC26DD" w:rsidRDefault="00CC26DD" w:rsidP="00CC26DD">
      <w:pPr>
        <w:rPr>
          <w:rFonts w:ascii="Times New Roman" w:eastAsia="Times New Roman" w:hAnsi="Times New Roman" w:cs="Times New Roman"/>
          <w:sz w:val="24"/>
          <w:szCs w:val="24"/>
        </w:rPr>
      </w:pPr>
    </w:p>
    <w:p w14:paraId="7B1584F0" w14:textId="77777777" w:rsidR="00CC26DD" w:rsidRDefault="00CC26DD" w:rsidP="00CC26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Three discrete lakeside settlements occurred along our 40-km transect. The largest, Listvyanka, is primarily a tourist town with approximately 1,963 permanent residents, although tourism can contribute significantly to the town’s population with 1.2 million annual visitors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{"citationID":"7marE7oD","properties":{"formattedCitation":"(Interfax-Tourism 2018)","plainCitation":"(Interfax-Tourism 2018)","noteIndex":0},"citationItems":[{"id":3786,"uris":["http://zotero.org/users/2645460/items/JSTKHQEI"],"uri":["http://zotero.org/users/2645460/items/JSTKHQEI"],"itemData":{"id":3786,"type":"article-newspaper","abstract":"ИРКУТСК. 25 ОКТЯБРЯ. ИНТЕРФАКС-СИБИРЬ - Количество туристов, посетивших Иркутскую область и озеро Байкал в январе-сентябре 2018 года, выросло на 4,7% в сравнении с аналогичным периодом прошлого года, до 1,2 млн человек, сообщила руководитель Агентства по туризму Иркутской области Екатерина Сливина.","container-title":"Interfax-Tourism","language":"Russian","title":"Байкал с января по август 2018 года посетили 1,2 миллиона туристов (1.2 million tourists vistied Baikal from January through August 2018)","URL":"https://tourism.interfax.ru/ru/news/articles/53449/","author":[{"family":"Interfax-Tourism","given":""}],"accessed":{"date-parts":[["2020",6,9]]},"issued":{"date-parts":[["2018",10,25]]}}}],"schema":"https://github.com/citation-style-language/schema/raw/master/csl-citation.json"} </w:instrText>
      </w:r>
      <w:r>
        <w:rPr>
          <w:rFonts w:ascii="Times New Roman" w:eastAsia="Times New Roman" w:hAnsi="Times New Roman" w:cs="Times New Roman"/>
          <w:sz w:val="24"/>
          <w:szCs w:val="24"/>
        </w:rPr>
        <w:fldChar w:fldCharType="separate"/>
      </w:r>
      <w:r w:rsidRPr="006F1DAD">
        <w:rPr>
          <w:rFonts w:ascii="Times New Roman" w:hAnsi="Times New Roman" w:cs="Times New Roman"/>
          <w:sz w:val="24"/>
        </w:rPr>
        <w:t>(Interfax-Tourism 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The other two settlements are the villages Bolshie Koty and Bolshoe Goloustnoe, which have approximately 80 and 600 permanent residents, respectively. Bolshie Koty is home to two field research stations and several small tourist accommodations. Bolshoe Goloustnoe has several hotels and tourist camps (IrkutskStat, 2012). Although Bolshie Koty and Bolshoe Goloustnoe are built along small streams that empty into Baikal, there are no upstream developed sites, meaning that any observed sewage indicators in Baikal most likely originated either from Bolshie Koty or Bolshoe Goloustnoe.</w:t>
      </w:r>
    </w:p>
    <w:p w14:paraId="0399D54A" w14:textId="77777777" w:rsidR="00CC26DD" w:rsidRDefault="00CC26DD" w:rsidP="00CC26DD">
      <w:pPr>
        <w:rPr>
          <w:rFonts w:ascii="Times New Roman" w:eastAsia="Times New Roman" w:hAnsi="Times New Roman" w:cs="Times New Roman"/>
          <w:sz w:val="24"/>
          <w:szCs w:val="24"/>
        </w:rPr>
      </w:pPr>
    </w:p>
    <w:p w14:paraId="3F983327" w14:textId="77777777" w:rsidR="00CC26DD" w:rsidRDefault="00CC26DD" w:rsidP="00CC26D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Inverse distance weighted (IDW) population calculation</w:t>
      </w:r>
    </w:p>
    <w:p w14:paraId="4CEF2CA5" w14:textId="77777777" w:rsidR="00CC26DD" w:rsidRPr="007E6282" w:rsidRDefault="00CC26DD" w:rsidP="00CC26DD">
      <w:pPr>
        <w:rPr>
          <w:rFonts w:ascii="Times New Roman" w:eastAsia="Times New Roman" w:hAnsi="Times New Roman" w:cs="Times New Roman"/>
          <w:i/>
          <w:sz w:val="24"/>
          <w:szCs w:val="24"/>
        </w:rPr>
      </w:pPr>
    </w:p>
    <w:p w14:paraId="0E9088BE" w14:textId="77777777" w:rsidR="00CC26DD" w:rsidRDefault="00CC26DD" w:rsidP="00CC26DD">
      <w:pPr>
        <w:rPr>
          <w:rFonts w:ascii="Times New Roman" w:eastAsia="Times New Roman" w:hAnsi="Times New Roman" w:cs="Times New Roman"/>
          <w:sz w:val="24"/>
          <w:szCs w:val="24"/>
        </w:rPr>
      </w:pPr>
      <w:bookmarkStart w:id="0" w:name="_Hlk53403518"/>
      <w:r>
        <w:rPr>
          <w:rFonts w:ascii="Times New Roman" w:eastAsia="Times New Roman" w:hAnsi="Times New Roman" w:cs="Times New Roman"/>
          <w:sz w:val="24"/>
          <w:szCs w:val="24"/>
        </w:rPr>
        <w:t xml:space="preserve">We recognized that sewage indicator concentrations at each sampling location may be related to a sampling location’s spatial position relative to both the size and proximity of neighboring developed sites. Therefore, we created the inverse distance weighted (IDW) population metric to compress, into a single metric, information about human population size, density, and location along the shoreline as well as distance between developed sites and sampling locations. </w:t>
      </w:r>
      <w:bookmarkEnd w:id="0"/>
      <w:r>
        <w:rPr>
          <w:rFonts w:ascii="Times New Roman" w:eastAsia="Times New Roman" w:hAnsi="Times New Roman" w:cs="Times New Roman"/>
          <w:sz w:val="24"/>
          <w:szCs w:val="24"/>
        </w:rPr>
        <w:t xml:space="preserve">The IDW metric reflects the idea that sewage pollution should be positively related to increasing human density and inversely related with distance from densely populated areas (sensu Bendz et al., 2005). Additionally, Timoshkin et al. (2018) noted that sewage enters Baikal’s nearshore largely through groundwater, implying that locations with more directly adjacent shoreline development should experience higher sewage concentrations in the lake. Acknowledging that nearshore PPCP concentrations were likely positively proportional to a developed location’s </w:t>
      </w:r>
      <w:r>
        <w:rPr>
          <w:rFonts w:ascii="Times New Roman" w:eastAsia="Times New Roman" w:hAnsi="Times New Roman" w:cs="Times New Roman"/>
          <w:sz w:val="24"/>
          <w:szCs w:val="24"/>
        </w:rPr>
        <w:lastRenderedPageBreak/>
        <w:t xml:space="preserve">shoreline length, we scaled a developed site’s population density by its shoreline </w:t>
      </w:r>
      <w:commentRangeStart w:id="1"/>
      <w:commentRangeStart w:id="2"/>
      <w:commentRangeStart w:id="3"/>
      <w:r>
        <w:rPr>
          <w:rFonts w:ascii="Times New Roman" w:eastAsia="Times New Roman" w:hAnsi="Times New Roman" w:cs="Times New Roman"/>
          <w:sz w:val="24"/>
          <w:szCs w:val="24"/>
        </w:rPr>
        <w:t>length</w:t>
      </w:r>
      <w:commentRangeEnd w:id="1"/>
      <w:r>
        <w:rPr>
          <w:rStyle w:val="CommentReference"/>
        </w:rPr>
        <w:commentReference w:id="1"/>
      </w:r>
      <w:commentRangeEnd w:id="2"/>
      <w:r>
        <w:rPr>
          <w:rStyle w:val="CommentReference"/>
        </w:rPr>
        <w:commentReference w:id="2"/>
      </w:r>
      <w:commentRangeEnd w:id="3"/>
      <w:r>
        <w:rPr>
          <w:rStyle w:val="CommentReference"/>
        </w:rPr>
        <w:commentReference w:id="3"/>
      </w:r>
      <w:r>
        <w:rPr>
          <w:rFonts w:ascii="Times New Roman" w:eastAsia="Times New Roman" w:hAnsi="Times New Roman" w:cs="Times New Roman"/>
          <w:sz w:val="24"/>
          <w:szCs w:val="24"/>
        </w:rPr>
        <w:t>. This scaling represents population density that directly interfaces with the lake, thereby capturing the idea that sewage-associated pollutants, such as PPCPs (</w:t>
      </w:r>
      <w:r w:rsidRPr="004943CA">
        <w:rPr>
          <w:rFonts w:ascii="Times New Roman" w:eastAsia="Times New Roman" w:hAnsi="Times New Roman" w:cs="Times New Roman"/>
          <w:sz w:val="24"/>
          <w:szCs w:val="24"/>
        </w:rPr>
        <w:t>Karnjanapiboonwong</w:t>
      </w:r>
      <w:r>
        <w:rPr>
          <w:rFonts w:ascii="Times New Roman" w:eastAsia="Times New Roman" w:hAnsi="Times New Roman" w:cs="Times New Roman"/>
          <w:sz w:val="24"/>
          <w:szCs w:val="24"/>
        </w:rPr>
        <w:t xml:space="preserve"> et al., 2010) and nutrients (de Vries, 1972), contributed away from the shoreline can be removed via the soil matrix en route to the lake.</w:t>
      </w:r>
    </w:p>
    <w:p w14:paraId="59DA897C" w14:textId="77777777" w:rsidR="00CC26DD" w:rsidRDefault="00CC26DD" w:rsidP="00CC26DD">
      <w:pPr>
        <w:rPr>
          <w:rFonts w:ascii="Times New Roman" w:eastAsia="Times New Roman" w:hAnsi="Times New Roman" w:cs="Times New Roman"/>
          <w:sz w:val="24"/>
          <w:szCs w:val="24"/>
        </w:rPr>
      </w:pPr>
    </w:p>
    <w:p w14:paraId="2FD9372F" w14:textId="77777777" w:rsidR="00CC26DD" w:rsidRDefault="00CC26DD" w:rsidP="00CC26DD">
      <w:pPr>
        <w:rPr>
          <w:rFonts w:ascii="Times New Roman" w:eastAsia="Times New Roman" w:hAnsi="Times New Roman" w:cs="Times New Roman"/>
          <w:sz w:val="24"/>
          <w:szCs w:val="24"/>
        </w:rPr>
      </w:pPr>
      <w:bookmarkStart w:id="4" w:name="_Hlk53403541"/>
      <w:r>
        <w:rPr>
          <w:rFonts w:ascii="Times New Roman" w:eastAsia="Times New Roman" w:hAnsi="Times New Roman" w:cs="Times New Roman"/>
          <w:sz w:val="24"/>
          <w:szCs w:val="24"/>
        </w:rPr>
        <w:t>We calculated IDW population for each sampling location, using formula (1).</w:t>
      </w:r>
    </w:p>
    <w:p w14:paraId="3B26D772" w14:textId="77777777" w:rsidR="00CC26DD" w:rsidRDefault="00CC26DD" w:rsidP="00CC26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m:oMath>
        <m:r>
          <w:rPr>
            <w:rFonts w:ascii="Cambria Math" w:eastAsia="Times New Roman" w:hAnsi="Cambria Math" w:cs="Times New Roman"/>
            <w:sz w:val="24"/>
            <w:szCs w:val="24"/>
          </w:rPr>
          <m:t>I</m:t>
        </m:r>
        <m:r>
          <w:rPr>
            <w:rFonts w:ascii="Cambria Math" w:eastAsia="Times New Roman" w:hAnsi="Cambria Math" w:cs="Times New Roman"/>
            <w:sz w:val="24"/>
            <w:szCs w:val="24"/>
            <w:vertAlign w:val="subscript"/>
          </w:rPr>
          <m:t>j</m:t>
        </m:r>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f>
              <m:fPr>
                <m:ctrlPr>
                  <w:rPr>
                    <w:rFonts w:ascii="Cambria Math" w:eastAsia="Times New Roman" w:hAnsi="Cambria Math" w:cs="Times New Roman"/>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LI</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LI</m:t>
                    </m:r>
                  </m:sub>
                </m:sSub>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LI</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j,LI</m:t>
                </m:r>
              </m:sub>
            </m:sSub>
          </m:den>
        </m:f>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f>
              <m:fPr>
                <m:ctrlPr>
                  <w:rPr>
                    <w:rFonts w:ascii="Cambria Math" w:eastAsia="Times New Roman" w:hAnsi="Cambria Math" w:cs="Times New Roman"/>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BK</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BK</m:t>
                    </m:r>
                  </m:sub>
                </m:sSub>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BK</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j,BK</m:t>
                </m:r>
              </m:sub>
            </m:sSub>
          </m:den>
        </m:f>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f>
              <m:fPr>
                <m:ctrlPr>
                  <w:rPr>
                    <w:rFonts w:ascii="Cambria Math" w:eastAsia="Times New Roman" w:hAnsi="Cambria Math" w:cs="Times New Roman"/>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BGO</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BGO</m:t>
                    </m:r>
                  </m:sub>
                </m:sSub>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BGO</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j,BGO</m:t>
                </m:r>
              </m:sub>
            </m:sSub>
          </m:den>
        </m:f>
      </m:oMath>
    </w:p>
    <w:p w14:paraId="5C24144B" w14:textId="77777777" w:rsidR="00CC26DD" w:rsidRDefault="00CC26DD" w:rsidP="00CC26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sidRPr="002F1C07">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 is the IDW population at sampling location</w:t>
      </w:r>
      <w:r w:rsidRPr="002F1C07">
        <w:rPr>
          <w:rFonts w:ascii="Times New Roman" w:eastAsia="Times New Roman" w:hAnsi="Times New Roman" w:cs="Times New Roman"/>
          <w:i/>
          <w:sz w:val="24"/>
          <w:szCs w:val="24"/>
        </w:rPr>
        <w:t xml:space="preserve"> j</w:t>
      </w:r>
      <w:r>
        <w:rPr>
          <w:rFonts w:ascii="Times New Roman" w:eastAsia="Times New Roman" w:hAnsi="Times New Roman" w:cs="Times New Roman"/>
          <w:sz w:val="24"/>
          <w:szCs w:val="24"/>
        </w:rPr>
        <w:t>,</w:t>
      </w:r>
      <w:r w:rsidRPr="002F1C07">
        <w:rPr>
          <w:rFonts w:ascii="Times New Roman" w:eastAsia="Times New Roman" w:hAnsi="Times New Roman" w:cs="Times New Roman"/>
          <w:i/>
          <w:sz w:val="24"/>
          <w:szCs w:val="24"/>
        </w:rPr>
        <w:t xml:space="preserve"> P</w:t>
      </w:r>
      <w:r>
        <w:rPr>
          <w:rFonts w:ascii="Times New Roman" w:eastAsia="Times New Roman" w:hAnsi="Times New Roman" w:cs="Times New Roman"/>
          <w:sz w:val="24"/>
          <w:szCs w:val="24"/>
        </w:rPr>
        <w:t xml:space="preserve"> is the population at each of the three developed sites Listvyanka (LI), Bolshie Koty (BK), Bolshoe Goloustnoe (BGO), </w:t>
      </w:r>
      <w:r w:rsidRPr="002F1C07">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is the area of a developed site in km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2F1C07">
        <w:rPr>
          <w:rFonts w:ascii="Times New Roman" w:eastAsia="Times New Roman" w:hAnsi="Times New Roman" w:cs="Times New Roman"/>
          <w:i/>
          <w:sz w:val="24"/>
          <w:szCs w:val="24"/>
        </w:rPr>
        <w:t xml:space="preserve">L </w:t>
      </w:r>
      <w:r>
        <w:rPr>
          <w:rFonts w:ascii="Times New Roman" w:eastAsia="Times New Roman" w:hAnsi="Times New Roman" w:cs="Times New Roman"/>
          <w:sz w:val="24"/>
          <w:szCs w:val="24"/>
        </w:rPr>
        <w:t xml:space="preserve">is the shoreline length at a developed site in km, and </w:t>
      </w:r>
      <w:r w:rsidRPr="002F1C07">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is the distance from developed site </w:t>
      </w:r>
      <w:r w:rsidRPr="002F1C07">
        <w:rPr>
          <w:rFonts w:ascii="Times New Roman" w:eastAsia="Times New Roman" w:hAnsi="Times New Roman" w:cs="Times New Roman"/>
          <w:i/>
          <w:sz w:val="24"/>
          <w:szCs w:val="24"/>
        </w:rPr>
        <w:t>j</w:t>
      </w:r>
      <w:r>
        <w:rPr>
          <w:rFonts w:ascii="Times New Roman" w:eastAsia="Times New Roman" w:hAnsi="Times New Roman" w:cs="Times New Roman"/>
          <w:sz w:val="24"/>
          <w:szCs w:val="24"/>
        </w:rPr>
        <w:t xml:space="preserve"> to each developed site’s centroid in km. This formulation implies that all sampling locations are influenced by all three developed sites. Thus, the influence of an individual developed site on each sampling location is positively influenced by the numerical and spatial density of the population and its orientation toward the shoreline, and inversely proportional to a sampling location’s distance from each of the three developed </w:t>
      </w:r>
      <w:commentRangeStart w:id="5"/>
      <w:commentRangeStart w:id="6"/>
      <w:r>
        <w:rPr>
          <w:rFonts w:ascii="Times New Roman" w:eastAsia="Times New Roman" w:hAnsi="Times New Roman" w:cs="Times New Roman"/>
          <w:sz w:val="24"/>
          <w:szCs w:val="24"/>
        </w:rPr>
        <w:t>sites</w:t>
      </w:r>
      <w:commentRangeEnd w:id="5"/>
      <w:r>
        <w:rPr>
          <w:rStyle w:val="CommentReference"/>
        </w:rPr>
        <w:commentReference w:id="5"/>
      </w:r>
      <w:commentRangeEnd w:id="6"/>
      <w:r>
        <w:rPr>
          <w:rStyle w:val="CommentReference"/>
        </w:rPr>
        <w:commentReference w:id="6"/>
      </w:r>
      <w:r>
        <w:rPr>
          <w:rFonts w:ascii="Times New Roman" w:eastAsia="Times New Roman" w:hAnsi="Times New Roman" w:cs="Times New Roman"/>
          <w:sz w:val="24"/>
          <w:szCs w:val="24"/>
        </w:rPr>
        <w:t xml:space="preserve">.  </w:t>
      </w:r>
    </w:p>
    <w:bookmarkEnd w:id="4"/>
    <w:p w14:paraId="6F2B5FF4" w14:textId="77777777" w:rsidR="00CC26DD" w:rsidRDefault="00CC26DD" w:rsidP="00CC26DD">
      <w:pPr>
        <w:rPr>
          <w:rFonts w:ascii="Times New Roman" w:eastAsia="Times New Roman" w:hAnsi="Times New Roman" w:cs="Times New Roman"/>
          <w:sz w:val="24"/>
          <w:szCs w:val="24"/>
        </w:rPr>
      </w:pPr>
    </w:p>
    <w:p w14:paraId="6E0D0441" w14:textId="77777777" w:rsidR="00CC26DD" w:rsidRDefault="00CC26DD" w:rsidP="00CC26DD">
      <w:pPr>
        <w:rPr>
          <w:rFonts w:ascii="Times New Roman" w:eastAsia="Times New Roman" w:hAnsi="Times New Roman" w:cs="Times New Roman"/>
          <w:b/>
          <w:i/>
          <w:sz w:val="24"/>
          <w:szCs w:val="24"/>
        </w:rPr>
      </w:pPr>
      <w:r>
        <w:rPr>
          <w:rFonts w:ascii="Times New Roman" w:eastAsia="Times New Roman" w:hAnsi="Times New Roman" w:cs="Times New Roman"/>
          <w:i/>
          <w:sz w:val="24"/>
          <w:szCs w:val="24"/>
        </w:rPr>
        <w:t>2. Water samples</w:t>
      </w:r>
    </w:p>
    <w:p w14:paraId="0469321F" w14:textId="77777777" w:rsidR="00CC26DD" w:rsidRDefault="00CC26DD" w:rsidP="00CC26DD">
      <w:pPr>
        <w:rPr>
          <w:rFonts w:ascii="Times New Roman" w:eastAsia="Times New Roman" w:hAnsi="Times New Roman" w:cs="Times New Roman"/>
          <w:sz w:val="24"/>
          <w:szCs w:val="24"/>
        </w:rPr>
      </w:pPr>
    </w:p>
    <w:p w14:paraId="52B47028" w14:textId="77777777" w:rsidR="00CC26DD" w:rsidRDefault="00CC26DD" w:rsidP="00CC26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both pelagic and littoral sites, water samples were collected for nutrient, chlorophyll, microplastic, and pharmaceutical and personal care product (PPCP) analysis. Samples were collected by hand from 0.75 m depth for each littoral site and with a bucket from aboard the Irkutsk State University “Kozhov” research vessel for pelagic sites. Each water sample collection procedure is described below. More detailed methods for sample collection and processing can be found in Meyer et al. (20XX). </w:t>
      </w:r>
    </w:p>
    <w:p w14:paraId="6F3F7E67" w14:textId="77777777" w:rsidR="00CC26DD" w:rsidRDefault="00CC26DD" w:rsidP="00CC26DD">
      <w:pPr>
        <w:rPr>
          <w:rFonts w:ascii="Times New Roman" w:eastAsia="Times New Roman" w:hAnsi="Times New Roman" w:cs="Times New Roman"/>
          <w:sz w:val="24"/>
          <w:szCs w:val="24"/>
        </w:rPr>
      </w:pPr>
    </w:p>
    <w:p w14:paraId="71E12762" w14:textId="77777777" w:rsidR="00CC26DD" w:rsidRDefault="00CC26DD" w:rsidP="00CC26DD">
      <w:pPr>
        <w:rPr>
          <w:rFonts w:ascii="Times New Roman" w:eastAsia="Times New Roman" w:hAnsi="Times New Roman" w:cs="Times New Roman"/>
          <w:sz w:val="24"/>
          <w:szCs w:val="24"/>
        </w:rPr>
      </w:pPr>
      <w:r>
        <w:rPr>
          <w:rFonts w:ascii="Times New Roman" w:eastAsia="Times New Roman" w:hAnsi="Times New Roman" w:cs="Times New Roman"/>
          <w:i/>
          <w:sz w:val="24"/>
          <w:szCs w:val="24"/>
        </w:rPr>
        <w:t>2a. Nutrients</w:t>
      </w:r>
    </w:p>
    <w:p w14:paraId="65B0BF14" w14:textId="77777777" w:rsidR="00CC26DD" w:rsidRDefault="00CC26DD" w:rsidP="00CC26DD">
      <w:pPr>
        <w:rPr>
          <w:rFonts w:ascii="Times New Roman" w:eastAsia="Times New Roman" w:hAnsi="Times New Roman" w:cs="Times New Roman"/>
          <w:sz w:val="24"/>
          <w:szCs w:val="24"/>
        </w:rPr>
      </w:pPr>
    </w:p>
    <w:p w14:paraId="489F526F" w14:textId="77777777" w:rsidR="00CC26DD" w:rsidRDefault="00CC26DD" w:rsidP="00CC26DD">
      <w:pPr>
        <w:rPr>
          <w:rFonts w:ascii="Times New Roman" w:eastAsia="Times New Roman" w:hAnsi="Times New Roman" w:cs="Times New Roman"/>
          <w:sz w:val="24"/>
          <w:szCs w:val="24"/>
        </w:rPr>
      </w:pPr>
      <w:bookmarkStart w:id="7" w:name="_Hlk53404560"/>
      <w:bookmarkStart w:id="8" w:name="_Hlk53402494"/>
      <w:r>
        <w:rPr>
          <w:rFonts w:ascii="Times New Roman" w:eastAsia="Times New Roman" w:hAnsi="Times New Roman" w:cs="Times New Roman"/>
          <w:sz w:val="24"/>
          <w:szCs w:val="24"/>
        </w:rPr>
        <w:t xml:space="preserve">Water samples for nutrient analyses were collected in 150 mL glass jars that had been washed with phosphate-free soap and rinsed three times with water from the sampling location. Samples were collected in duplicates and immediately frozen at -20°C until processing at the </w:t>
      </w:r>
      <w:r w:rsidRPr="002075AA">
        <w:rPr>
          <w:rFonts w:ascii="Times New Roman" w:eastAsia="Times New Roman" w:hAnsi="Times New Roman" w:cs="Times New Roman"/>
          <w:sz w:val="24"/>
          <w:szCs w:val="24"/>
        </w:rPr>
        <w:t>A.P.Vinogradov Institute of Geochemistry</w:t>
      </w:r>
      <w:r>
        <w:rPr>
          <w:rFonts w:ascii="Times New Roman" w:eastAsia="Times New Roman" w:hAnsi="Times New Roman" w:cs="Times New Roman"/>
          <w:sz w:val="24"/>
          <w:szCs w:val="24"/>
        </w:rPr>
        <w:t xml:space="preserve"> (Siberian Branch of the Russian Academy of Sciences, Irkutsk). For each water sample, ammonium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rDjAdfOd","properties":{"formattedCitation":"(2016a)","plainCitation":"(2016a)","noteIndex":0},"citationItems":[{"id":3887,"uris":["http://zotero.org/users/2645460/items/3VJF2QLC"],"uri":["http://zotero.org/users/2645460/items/3VJF2QLC"],"itemData":{"id":3887,"type":"article","call-number":"GOST 33045-2014 Water","language":"Russian","publisher":"Intergovernmental committe for standardization, regulation, and metrology","title":"Methods for determination of nitrogen-containing matters (with corrections) (Методы определения азотсодержащих веществ (с Поправками))","URL":"http://docs.cntd.ru/document/1200115428","issued":{"date-parts":[["2016"]]}}}],"schema":"https://github.com/citation-style-language/schema/raw/master/csl-citation.json"} </w:instrText>
      </w:r>
      <w:r>
        <w:rPr>
          <w:rFonts w:ascii="Times New Roman" w:eastAsia="Times New Roman" w:hAnsi="Times New Roman" w:cs="Times New Roman"/>
          <w:sz w:val="24"/>
          <w:szCs w:val="24"/>
        </w:rPr>
        <w:fldChar w:fldCharType="separate"/>
      </w:r>
      <w:r w:rsidRPr="005404FF">
        <w:rPr>
          <w:rFonts w:ascii="Times New Roman" w:hAnsi="Times New Roman" w:cs="Times New Roman"/>
          <w:sz w:val="24"/>
        </w:rPr>
        <w:t>(2016a)</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nitrate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7ICt8Vbf","properties":{"formattedCitation":"(2017)","plainCitation":"(2017)","noteIndex":0},"citationItems":[{"id":3886,"uris":["http://zotero.org/users/2645460/items/3ZMMVLJP"],"uri":["http://zotero.org/users/2645460/items/3ZMMVLJP"],"itemData":{"id":3886,"type":"article","call-number":"RD 52.24.380-2017","language":"Russian","publisher":"Ministry of Natural Resources and Ecology of the Russian Federation: Federal division of hydrometeorology and environmental monitoring","title":"Nitrate concentration in waters: Photometric methods with Giress reagent following stabilization in a cadmium reducer (Массовая концентрация нитратного азота в водах: Методика измерений фотометрическим методом с реактивом Грисса после восстановления в камиевом редукторе)","URL":"https://files.stroyinf.ru/Data2/1/4293739/4293739155.pdf","issued":{"date-parts":[["2017"]]}}}],"schema":"https://github.com/citation-style-language/schema/raw/master/csl-citation.json"} </w:instrText>
      </w:r>
      <w:r>
        <w:rPr>
          <w:rFonts w:ascii="Times New Roman" w:eastAsia="Times New Roman" w:hAnsi="Times New Roman" w:cs="Times New Roman"/>
          <w:sz w:val="24"/>
          <w:szCs w:val="24"/>
        </w:rPr>
        <w:fldChar w:fldCharType="separate"/>
      </w:r>
      <w:r w:rsidRPr="005404FF">
        <w:rPr>
          <w:rFonts w:ascii="Times New Roman" w:hAnsi="Times New Roman" w:cs="Times New Roman"/>
          <w:sz w:val="24"/>
        </w:rPr>
        <w:t>(2017)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total phosphorus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u5pCDfjv","properties":{"formattedCitation":"(2016b)","plainCitation":"(2016b)","noteIndex":0},"citationItems":[{"id":3888,"uris":["http://zotero.org/users/2645460/items/DN2CUB64"],"uri":["http://zotero.org/users/2645460/items/DN2CUB64"],"itemData":{"id":3888,"type":"article","call-number":"GOST 18309-2014 Water","language":"Russian","publisher":"Intergovernmental committe for standardization, regulation, and metrology","title":"Methods for determination of phosphorus-containing matters (with corrections) (Методы определения фосфорсодержащих веществ)","URL":"http://docs.cntd.ru/document/1200115799","issued":{"date-parts":[["2016"]]}}}],"schema":"https://github.com/citation-style-language/schema/raw/master/csl-citation.json"} </w:instrText>
      </w:r>
      <w:r>
        <w:rPr>
          <w:rFonts w:ascii="Times New Roman" w:eastAsia="Times New Roman" w:hAnsi="Times New Roman" w:cs="Times New Roman"/>
          <w:sz w:val="24"/>
          <w:szCs w:val="24"/>
        </w:rPr>
        <w:fldChar w:fldCharType="separate"/>
      </w:r>
      <w:r w:rsidRPr="005404FF">
        <w:rPr>
          <w:rFonts w:ascii="Times New Roman" w:hAnsi="Times New Roman" w:cs="Times New Roman"/>
          <w:sz w:val="24"/>
        </w:rPr>
        <w:t>(2016b)</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concentrations were measured using a spectrophotomer</w:t>
      </w:r>
      <w:bookmarkEnd w:id="7"/>
      <w:r>
        <w:rPr>
          <w:rFonts w:ascii="Times New Roman" w:eastAsia="Times New Roman" w:hAnsi="Times New Roman" w:cs="Times New Roman"/>
          <w:sz w:val="24"/>
          <w:szCs w:val="24"/>
        </w:rPr>
        <w:t xml:space="preserve">. </w:t>
      </w:r>
    </w:p>
    <w:bookmarkEnd w:id="8"/>
    <w:p w14:paraId="232A42F2" w14:textId="77777777" w:rsidR="00CC26DD" w:rsidRPr="005404FF" w:rsidRDefault="00CC26DD" w:rsidP="00CC26DD">
      <w:pPr>
        <w:rPr>
          <w:rFonts w:ascii="Times New Roman" w:eastAsia="Times New Roman" w:hAnsi="Times New Roman" w:cs="Times New Roman"/>
          <w:sz w:val="24"/>
          <w:szCs w:val="24"/>
        </w:rPr>
      </w:pPr>
    </w:p>
    <w:p w14:paraId="2756F07E" w14:textId="77777777" w:rsidR="00CC26DD" w:rsidRPr="005404FF" w:rsidRDefault="00CC26DD" w:rsidP="00CC26DD">
      <w:pPr>
        <w:rPr>
          <w:rFonts w:ascii="Times New Roman" w:eastAsia="Times New Roman" w:hAnsi="Times New Roman" w:cs="Times New Roman"/>
          <w:sz w:val="24"/>
          <w:szCs w:val="24"/>
        </w:rPr>
      </w:pPr>
      <w:r>
        <w:rPr>
          <w:rFonts w:ascii="Times New Roman" w:eastAsia="Times New Roman" w:hAnsi="Times New Roman" w:cs="Times New Roman"/>
          <w:i/>
          <w:sz w:val="24"/>
          <w:szCs w:val="24"/>
        </w:rPr>
        <w:t>2b. Chlorophyll a</w:t>
      </w:r>
    </w:p>
    <w:p w14:paraId="4D54DC8D" w14:textId="77777777" w:rsidR="00CC26DD" w:rsidRDefault="00CC26DD" w:rsidP="00CC26DD">
      <w:pPr>
        <w:rPr>
          <w:rFonts w:ascii="Times New Roman" w:eastAsia="Times New Roman" w:hAnsi="Times New Roman" w:cs="Times New Roman"/>
          <w:sz w:val="24"/>
          <w:szCs w:val="24"/>
        </w:rPr>
      </w:pPr>
    </w:p>
    <w:p w14:paraId="4B9DF1B3" w14:textId="77777777" w:rsidR="00CC26DD" w:rsidRDefault="00CC26DD" w:rsidP="00CC26DD">
      <w:pPr>
        <w:rPr>
          <w:rFonts w:ascii="Times New Roman" w:eastAsia="Times New Roman" w:hAnsi="Times New Roman" w:cs="Times New Roman"/>
          <w:sz w:val="24"/>
          <w:szCs w:val="24"/>
        </w:rPr>
      </w:pPr>
      <w:bookmarkStart w:id="9" w:name="_Hlk53404582"/>
      <w:bookmarkStart w:id="10" w:name="_Hlk53402750"/>
      <w:r>
        <w:rPr>
          <w:rFonts w:ascii="Times New Roman" w:eastAsia="Times New Roman" w:hAnsi="Times New Roman" w:cs="Times New Roman"/>
          <w:sz w:val="24"/>
          <w:szCs w:val="24"/>
        </w:rPr>
        <w:t xml:space="preserve">Water samples were collected in 1.5 L plastic bottles from a depth of approximately 0.75 m. Within 12 h of collection, three subsamples (up to 150 mL each) were filtered through 25-mm </w:t>
      </w:r>
      <w:r>
        <w:rPr>
          <w:rFonts w:ascii="Times New Roman" w:eastAsia="Times New Roman" w:hAnsi="Times New Roman" w:cs="Times New Roman"/>
          <w:sz w:val="24"/>
          <w:szCs w:val="24"/>
        </w:rPr>
        <w:lastRenderedPageBreak/>
        <w:t xml:space="preserve">diameter, 0.2 µm pore size nitrocellulose filters. Filters were then placed in a 35 mm petri dish and frozen in the dark until processing. Chlorophyll samples were processed in a manner similar to that of Parson (1963) and Lorenzen (1967) with greater detail described in Meyer et al (202X). </w:t>
      </w:r>
      <w:bookmarkEnd w:id="9"/>
    </w:p>
    <w:bookmarkEnd w:id="10"/>
    <w:p w14:paraId="054E5020" w14:textId="77777777" w:rsidR="00CC26DD" w:rsidRDefault="00CC26DD" w:rsidP="00CC26DD">
      <w:pPr>
        <w:rPr>
          <w:rFonts w:ascii="Times New Roman" w:eastAsia="Times New Roman" w:hAnsi="Times New Roman" w:cs="Times New Roman"/>
          <w:sz w:val="24"/>
          <w:szCs w:val="24"/>
        </w:rPr>
      </w:pPr>
    </w:p>
    <w:p w14:paraId="286484EA" w14:textId="77777777" w:rsidR="00CC26DD" w:rsidRDefault="00CC26DD" w:rsidP="00CC26DD">
      <w:pPr>
        <w:rPr>
          <w:rFonts w:ascii="Times New Roman" w:eastAsia="Times New Roman" w:hAnsi="Times New Roman" w:cs="Times New Roman"/>
          <w:sz w:val="24"/>
          <w:szCs w:val="24"/>
        </w:rPr>
      </w:pPr>
      <w:r>
        <w:rPr>
          <w:rFonts w:ascii="Times New Roman" w:eastAsia="Times New Roman" w:hAnsi="Times New Roman" w:cs="Times New Roman"/>
          <w:i/>
          <w:sz w:val="24"/>
          <w:szCs w:val="24"/>
        </w:rPr>
        <w:t>2c. PPCPs</w:t>
      </w:r>
    </w:p>
    <w:p w14:paraId="334BBBB5" w14:textId="77777777" w:rsidR="00CC26DD" w:rsidRDefault="00CC26DD" w:rsidP="00CC26DD">
      <w:pPr>
        <w:rPr>
          <w:rFonts w:ascii="Times New Roman" w:eastAsia="Times New Roman" w:hAnsi="Times New Roman" w:cs="Times New Roman"/>
          <w:sz w:val="24"/>
          <w:szCs w:val="24"/>
        </w:rPr>
      </w:pPr>
    </w:p>
    <w:p w14:paraId="7B6CD928" w14:textId="77777777" w:rsidR="00CC26DD" w:rsidRDefault="00CC26DD" w:rsidP="00CC26DD">
      <w:pPr>
        <w:rPr>
          <w:rFonts w:ascii="Times New Roman" w:eastAsia="Times New Roman" w:hAnsi="Times New Roman" w:cs="Times New Roman"/>
          <w:sz w:val="24"/>
          <w:szCs w:val="24"/>
        </w:rPr>
      </w:pPr>
      <w:bookmarkStart w:id="11" w:name="_Hlk53402819"/>
      <w:r>
        <w:rPr>
          <w:rFonts w:ascii="Times New Roman" w:eastAsia="Times New Roman" w:hAnsi="Times New Roman" w:cs="Times New Roman"/>
          <w:sz w:val="24"/>
          <w:szCs w:val="24"/>
        </w:rPr>
        <w:t xml:space="preserve">Water samples for PPCP analysis were collected in 250 mL amber glass bottles that were rinsed with either methanol or </w:t>
      </w:r>
      <w:r w:rsidRPr="001338EC">
        <w:rPr>
          <w:rFonts w:ascii="Times New Roman" w:eastAsia="Times New Roman" w:hAnsi="Times New Roman" w:cs="Times New Roman"/>
          <w:sz w:val="24"/>
          <w:szCs w:val="24"/>
        </w:rPr>
        <w:t xml:space="preserve">acetone </w:t>
      </w:r>
      <w:r w:rsidRPr="00B420AF">
        <w:rPr>
          <w:rStyle w:val="CommentReference"/>
          <w:rFonts w:ascii="Times New Roman" w:hAnsi="Times New Roman" w:cs="Times New Roman"/>
          <w:sz w:val="24"/>
          <w:szCs w:val="24"/>
        </w:rPr>
        <w:t>a</w:t>
      </w:r>
      <w:r w:rsidRPr="001338EC">
        <w:rPr>
          <w:rFonts w:ascii="Times New Roman" w:eastAsia="Times New Roman" w:hAnsi="Times New Roman" w:cs="Times New Roman"/>
          <w:sz w:val="24"/>
          <w:szCs w:val="24"/>
        </w:rPr>
        <w:t>nd</w:t>
      </w:r>
      <w:r>
        <w:rPr>
          <w:rFonts w:ascii="Times New Roman" w:eastAsia="Times New Roman" w:hAnsi="Times New Roman" w:cs="Times New Roman"/>
          <w:sz w:val="24"/>
          <w:szCs w:val="24"/>
        </w:rPr>
        <w:t xml:space="preserve"> then three times with sample water prior to collections. Following collection, samples were refrigerated and kept in the dark until solid phase extraction (SPE). During SPE, l</w:t>
      </w:r>
      <w:r w:rsidRPr="00EF133E">
        <w:rPr>
          <w:rFonts w:ascii="Times New Roman" w:eastAsia="Times New Roman" w:hAnsi="Times New Roman" w:cs="Times New Roman"/>
          <w:sz w:val="24"/>
          <w:szCs w:val="24"/>
        </w:rPr>
        <w:t xml:space="preserve">ab personnel wore gloves and face masks to minimize contamination. </w:t>
      </w:r>
      <w:r>
        <w:rPr>
          <w:rFonts w:ascii="Times New Roman" w:eastAsia="Times New Roman" w:hAnsi="Times New Roman" w:cs="Times New Roman"/>
          <w:sz w:val="24"/>
          <w:szCs w:val="24"/>
        </w:rPr>
        <w:t>SPE methods are described in greater detail in Meyer et al (202X). After filtration and extraction, SPE cartridges were stored in Whirlpacks at -20°C until analysis for PPCPs following methods of Lee et al. (2016).</w:t>
      </w:r>
    </w:p>
    <w:bookmarkEnd w:id="11"/>
    <w:p w14:paraId="19D3BB89" w14:textId="77777777" w:rsidR="00CC26DD" w:rsidRDefault="00CC26DD" w:rsidP="00CC26DD">
      <w:pPr>
        <w:rPr>
          <w:rFonts w:ascii="Times New Roman" w:eastAsia="Times New Roman" w:hAnsi="Times New Roman" w:cs="Times New Roman"/>
          <w:sz w:val="24"/>
          <w:szCs w:val="24"/>
        </w:rPr>
      </w:pPr>
    </w:p>
    <w:p w14:paraId="6ACE2EBD" w14:textId="77777777" w:rsidR="00CC26DD" w:rsidRDefault="00CC26DD" w:rsidP="00CC26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2d. </w:t>
      </w:r>
      <w:r>
        <w:rPr>
          <w:rFonts w:ascii="Times New Roman" w:eastAsia="Times New Roman" w:hAnsi="Times New Roman" w:cs="Times New Roman"/>
          <w:i/>
          <w:sz w:val="24"/>
          <w:szCs w:val="24"/>
        </w:rPr>
        <w:t>Microplastics</w:t>
      </w:r>
    </w:p>
    <w:p w14:paraId="02E3FCCE" w14:textId="77777777" w:rsidR="00CC26DD" w:rsidRDefault="00CC26DD" w:rsidP="00CC26DD">
      <w:pPr>
        <w:rPr>
          <w:rFonts w:ascii="Times New Roman" w:eastAsia="Times New Roman" w:hAnsi="Times New Roman" w:cs="Times New Roman"/>
          <w:sz w:val="24"/>
          <w:szCs w:val="24"/>
        </w:rPr>
      </w:pPr>
    </w:p>
    <w:p w14:paraId="7F660CED" w14:textId="77777777" w:rsidR="00CC26DD" w:rsidRDefault="00CC26DD" w:rsidP="00CC26DD">
      <w:pPr>
        <w:rPr>
          <w:rFonts w:ascii="Times New Roman" w:eastAsia="Times New Roman" w:hAnsi="Times New Roman" w:cs="Times New Roman"/>
          <w:sz w:val="24"/>
          <w:szCs w:val="24"/>
        </w:rPr>
      </w:pPr>
      <w:bookmarkStart w:id="12" w:name="_Hlk53403670"/>
      <w:r>
        <w:rPr>
          <w:rFonts w:ascii="Times New Roman" w:eastAsia="Times New Roman" w:hAnsi="Times New Roman" w:cs="Times New Roman"/>
          <w:sz w:val="24"/>
          <w:szCs w:val="24"/>
        </w:rPr>
        <w:t xml:space="preserve">At each location, samples were collected in triplicate using </w:t>
      </w:r>
      <w:commentRangeStart w:id="13"/>
      <w:commentRangeStart w:id="14"/>
      <w:r>
        <w:rPr>
          <w:rFonts w:ascii="Times New Roman" w:eastAsia="Times New Roman" w:hAnsi="Times New Roman" w:cs="Times New Roman"/>
          <w:sz w:val="24"/>
          <w:szCs w:val="24"/>
        </w:rPr>
        <w:t>1.5 L clear plastic bottles</w:t>
      </w:r>
      <w:commentRangeEnd w:id="13"/>
      <w:r>
        <w:rPr>
          <w:rStyle w:val="CommentReference"/>
        </w:rPr>
        <w:commentReference w:id="13"/>
      </w:r>
      <w:commentRangeEnd w:id="14"/>
      <w:r>
        <w:rPr>
          <w:rStyle w:val="CommentReference"/>
        </w:rPr>
        <w:commentReference w:id="14"/>
      </w:r>
      <w:r>
        <w:rPr>
          <w:rFonts w:ascii="Times New Roman" w:eastAsia="Times New Roman" w:hAnsi="Times New Roman" w:cs="Times New Roman"/>
          <w:sz w:val="24"/>
          <w:szCs w:val="24"/>
        </w:rPr>
        <w:t xml:space="preserve"> that were washed thoroughly with sample water before each collection. Samples were collected by hand for each littoral site and with a metal bucket from aboard the ship for pelagic sites. </w:t>
      </w:r>
    </w:p>
    <w:p w14:paraId="090AD2BE" w14:textId="77777777" w:rsidR="00CC26DD" w:rsidRDefault="00CC26DD" w:rsidP="00CC26DD">
      <w:pPr>
        <w:rPr>
          <w:rFonts w:ascii="Times New Roman" w:eastAsia="Times New Roman" w:hAnsi="Times New Roman" w:cs="Times New Roman"/>
          <w:sz w:val="24"/>
          <w:szCs w:val="24"/>
        </w:rPr>
      </w:pPr>
    </w:p>
    <w:p w14:paraId="7F438A20" w14:textId="77777777" w:rsidR="00CC26DD" w:rsidRDefault="00CC26DD" w:rsidP="00CC26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processing, each sample was vacuum filtered on to a 47-mm diameter GF/F filter. During filtration, aluminum foil was used to cover the filtration funnel to prevent contamination from airborne microplastic particles. After filtration, filters were dried under vacuum pressure and then stored in 50-mm petri dishes. Following filtration of all three replicates, the filtrate was collected and then re-filtered through a GF/F filter as a control for </w:t>
      </w:r>
      <w:commentRangeStart w:id="15"/>
      <w:commentRangeStart w:id="16"/>
      <w:r>
        <w:rPr>
          <w:rFonts w:ascii="Times New Roman" w:eastAsia="Times New Roman" w:hAnsi="Times New Roman" w:cs="Times New Roman"/>
          <w:sz w:val="24"/>
          <w:szCs w:val="24"/>
        </w:rPr>
        <w:t>contamination</w:t>
      </w:r>
      <w:commentRangeEnd w:id="15"/>
      <w:r>
        <w:rPr>
          <w:rStyle w:val="CommentReference"/>
        </w:rPr>
        <w:commentReference w:id="15"/>
      </w:r>
      <w:commentRangeEnd w:id="16"/>
      <w:r>
        <w:rPr>
          <w:rStyle w:val="CommentReference"/>
        </w:rPr>
        <w:commentReference w:id="16"/>
      </w:r>
      <w:r>
        <w:rPr>
          <w:rFonts w:ascii="Times New Roman" w:eastAsia="Times New Roman" w:hAnsi="Times New Roman" w:cs="Times New Roman"/>
          <w:sz w:val="24"/>
          <w:szCs w:val="24"/>
        </w:rPr>
        <w:t xml:space="preserve"> from the plastic vacuum funnel or potentially airborne microplastics. </w:t>
      </w:r>
    </w:p>
    <w:p w14:paraId="5D16FC49" w14:textId="77777777" w:rsidR="00CC26DD" w:rsidRDefault="00CC26DD" w:rsidP="00CC26DD">
      <w:pPr>
        <w:rPr>
          <w:rFonts w:ascii="Times New Roman" w:eastAsia="Times New Roman" w:hAnsi="Times New Roman" w:cs="Times New Roman"/>
          <w:sz w:val="24"/>
          <w:szCs w:val="24"/>
        </w:rPr>
      </w:pPr>
    </w:p>
    <w:p w14:paraId="55D976BA" w14:textId="77777777" w:rsidR="00CC26DD" w:rsidRDefault="00CC26DD" w:rsidP="00CC26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Microplastic counting involved visual inspection of the entire GF/F according to Van Cauwenberghe et al. (2015) and Meyer et al. (202X) under a stereo microscope with ~100x magnification. Following enumeration of both experimental and control samples, fibers, fragments, and beads enumerated in the controls were subtracted from the experimental microplastic densities for each plastic type and from each replicate. One location (BK-1) had two control replicates, which were averaged for each plastic type and then subtracted from the experimental samples. Results are reported as the average number of microplastics/L. </w:t>
      </w:r>
      <w:bookmarkEnd w:id="12"/>
    </w:p>
    <w:p w14:paraId="12ACA13A" w14:textId="77777777" w:rsidR="00CC26DD" w:rsidRDefault="00CC26DD" w:rsidP="00CC26DD">
      <w:pPr>
        <w:rPr>
          <w:rFonts w:ascii="Times New Roman" w:eastAsia="Times New Roman" w:hAnsi="Times New Roman" w:cs="Times New Roman"/>
          <w:sz w:val="24"/>
          <w:szCs w:val="24"/>
        </w:rPr>
      </w:pPr>
    </w:p>
    <w:p w14:paraId="03B1F7E1" w14:textId="77777777" w:rsidR="00CC26DD" w:rsidRDefault="00CC26DD" w:rsidP="00CC26D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3. Benthic biological samples</w:t>
      </w:r>
    </w:p>
    <w:p w14:paraId="5D7F22FE" w14:textId="77777777" w:rsidR="00CC26DD" w:rsidRDefault="00CC26DD" w:rsidP="00CC26DD">
      <w:pPr>
        <w:rPr>
          <w:rFonts w:ascii="Times New Roman" w:eastAsia="Times New Roman" w:hAnsi="Times New Roman" w:cs="Times New Roman"/>
          <w:sz w:val="24"/>
          <w:szCs w:val="24"/>
        </w:rPr>
      </w:pPr>
    </w:p>
    <w:p w14:paraId="716E4336" w14:textId="77777777" w:rsidR="00CC26DD" w:rsidRDefault="00CC26DD" w:rsidP="00CC26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each littoral site, periphyton and macroinvertebrates were collected for relative abundance estimates and food web analysis by wading and snorkeling. </w:t>
      </w:r>
    </w:p>
    <w:p w14:paraId="2E155FC3" w14:textId="77777777" w:rsidR="00CC26DD" w:rsidRDefault="00CC26DD" w:rsidP="00CC26DD">
      <w:pPr>
        <w:rPr>
          <w:rFonts w:ascii="Times New Roman" w:eastAsia="Times New Roman" w:hAnsi="Times New Roman" w:cs="Times New Roman"/>
          <w:sz w:val="24"/>
          <w:szCs w:val="24"/>
        </w:rPr>
      </w:pPr>
    </w:p>
    <w:p w14:paraId="05077A1C" w14:textId="77777777" w:rsidR="00CC26DD" w:rsidRDefault="00CC26DD" w:rsidP="00CC26D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3a. Benthic algal collection </w:t>
      </w:r>
    </w:p>
    <w:p w14:paraId="0AE4357A" w14:textId="77777777" w:rsidR="00CC26DD" w:rsidRDefault="00CC26DD" w:rsidP="00CC26DD">
      <w:pPr>
        <w:rPr>
          <w:rFonts w:ascii="Times New Roman" w:eastAsia="Times New Roman" w:hAnsi="Times New Roman" w:cs="Times New Roman"/>
          <w:sz w:val="24"/>
          <w:szCs w:val="24"/>
        </w:rPr>
      </w:pPr>
    </w:p>
    <w:p w14:paraId="6FE450B9" w14:textId="77777777" w:rsidR="00CC26DD" w:rsidRDefault="00CC26DD" w:rsidP="00CC26DD">
      <w:pPr>
        <w:rPr>
          <w:rFonts w:ascii="Times New Roman" w:eastAsia="Times New Roman" w:hAnsi="Times New Roman" w:cs="Times New Roman"/>
          <w:sz w:val="24"/>
          <w:szCs w:val="24"/>
        </w:rPr>
      </w:pPr>
      <w:bookmarkStart w:id="17" w:name="_Hlk53404238"/>
      <w:r>
        <w:rPr>
          <w:rFonts w:ascii="Times New Roman" w:eastAsia="Times New Roman" w:hAnsi="Times New Roman" w:cs="Times New Roman"/>
          <w:sz w:val="24"/>
          <w:szCs w:val="24"/>
        </w:rPr>
        <w:t>At each littoral site, we haphazardly selected three rocks representative of local substrate. A plastic stencil was used to define a surface area of each rock from which we scraped a standardized 14.5 cm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patch of periphyton. Samples were preserved with Lugol’s solution and stored in plastic scintillation vials. Additional periphyton was collected in composite from each site for fatty acid and stable isotope analysis. </w:t>
      </w:r>
    </w:p>
    <w:p w14:paraId="24F9CD62" w14:textId="77777777" w:rsidR="00CC26DD" w:rsidRDefault="00CC26DD" w:rsidP="00CC26DD">
      <w:pPr>
        <w:rPr>
          <w:rFonts w:ascii="Times New Roman" w:eastAsia="Times New Roman" w:hAnsi="Times New Roman" w:cs="Times New Roman"/>
          <w:sz w:val="24"/>
          <w:szCs w:val="24"/>
        </w:rPr>
      </w:pPr>
    </w:p>
    <w:p w14:paraId="1E48EBF7" w14:textId="77777777" w:rsidR="00CC26DD" w:rsidRDefault="00CC26DD" w:rsidP="00CC26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Taxa were classified into broad categories consistent with Baikal algal taxonomy (Izhboldina, 2007), using coarse groupings to capture general patterns in relative algal abundance. As a result, algal groups consisted of diatoms, </w:t>
      </w:r>
      <w:r w:rsidRPr="009F0747">
        <w:rPr>
          <w:rFonts w:ascii="Times New Roman" w:eastAsia="Times New Roman" w:hAnsi="Times New Roman" w:cs="Times New Roman"/>
          <w:i/>
          <w:sz w:val="24"/>
          <w:szCs w:val="24"/>
        </w:rPr>
        <w:t>Ulothrix</w:t>
      </w:r>
      <w:r>
        <w:rPr>
          <w:rFonts w:ascii="Times New Roman" w:eastAsia="Times New Roman" w:hAnsi="Times New Roman" w:cs="Times New Roman"/>
          <w:sz w:val="24"/>
          <w:szCs w:val="24"/>
        </w:rPr>
        <w:t xml:space="preserve">, </w:t>
      </w:r>
      <w:r w:rsidRPr="00AC75E6">
        <w:rPr>
          <w:rFonts w:ascii="Times New Roman" w:eastAsia="Times New Roman" w:hAnsi="Times New Roman" w:cs="Times New Roman"/>
          <w:i/>
          <w:sz w:val="24"/>
          <w:szCs w:val="24"/>
        </w:rPr>
        <w:t>Spirogyra</w:t>
      </w:r>
      <w:r w:rsidRPr="007D3AD5">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and the green algal Order Tetrasporales. Details pertaining to enumeration procedure are detailed in Meyer et al. (202X).</w:t>
      </w:r>
    </w:p>
    <w:bookmarkEnd w:id="17"/>
    <w:p w14:paraId="6E912185" w14:textId="77777777" w:rsidR="00CC26DD" w:rsidRDefault="00CC26DD" w:rsidP="00CC26DD">
      <w:pPr>
        <w:rPr>
          <w:rFonts w:ascii="Times New Roman" w:eastAsia="Times New Roman" w:hAnsi="Times New Roman" w:cs="Times New Roman"/>
          <w:sz w:val="24"/>
          <w:szCs w:val="24"/>
        </w:rPr>
      </w:pPr>
    </w:p>
    <w:p w14:paraId="50BFCD66" w14:textId="77777777" w:rsidR="00CC26DD" w:rsidRDefault="00CC26DD" w:rsidP="00CC26DD">
      <w:pPr>
        <w:rPr>
          <w:rFonts w:ascii="Times New Roman" w:eastAsia="Times New Roman" w:hAnsi="Times New Roman" w:cs="Times New Roman"/>
          <w:i/>
          <w:sz w:val="24"/>
          <w:szCs w:val="24"/>
        </w:rPr>
      </w:pPr>
      <w:commentRangeStart w:id="18"/>
      <w:r>
        <w:rPr>
          <w:rFonts w:ascii="Times New Roman" w:eastAsia="Times New Roman" w:hAnsi="Times New Roman" w:cs="Times New Roman"/>
          <w:i/>
          <w:sz w:val="24"/>
          <w:szCs w:val="24"/>
        </w:rPr>
        <w:t>3b</w:t>
      </w:r>
      <w:commentRangeEnd w:id="18"/>
      <w:r>
        <w:rPr>
          <w:rStyle w:val="CommentReference"/>
        </w:rPr>
        <w:commentReference w:id="18"/>
      </w:r>
      <w:r>
        <w:rPr>
          <w:rFonts w:ascii="Times New Roman" w:eastAsia="Times New Roman" w:hAnsi="Times New Roman" w:cs="Times New Roman"/>
          <w:i/>
          <w:sz w:val="24"/>
          <w:szCs w:val="24"/>
        </w:rPr>
        <w:t xml:space="preserve">. Benthic invertebrate collection </w:t>
      </w:r>
    </w:p>
    <w:p w14:paraId="6937930D" w14:textId="77777777" w:rsidR="00CC26DD" w:rsidRDefault="00CC26DD" w:rsidP="00CC26DD">
      <w:pPr>
        <w:rPr>
          <w:rFonts w:ascii="Times New Roman" w:eastAsia="Times New Roman" w:hAnsi="Times New Roman" w:cs="Times New Roman"/>
          <w:sz w:val="24"/>
          <w:szCs w:val="24"/>
        </w:rPr>
      </w:pPr>
    </w:p>
    <w:p w14:paraId="14114120" w14:textId="77777777" w:rsidR="00CC26DD" w:rsidRDefault="00CC26DD" w:rsidP="00CC26DD">
      <w:pPr>
        <w:rPr>
          <w:rFonts w:ascii="Times New Roman" w:eastAsia="Times New Roman" w:hAnsi="Times New Roman" w:cs="Times New Roman"/>
          <w:sz w:val="24"/>
          <w:szCs w:val="24"/>
        </w:rPr>
      </w:pPr>
      <w:r>
        <w:rPr>
          <w:rFonts w:ascii="Times New Roman" w:eastAsia="Times New Roman" w:hAnsi="Times New Roman" w:cs="Times New Roman"/>
          <w:sz w:val="24"/>
          <w:szCs w:val="24"/>
        </w:rPr>
        <w:t>At each littoral site, three kick-net samples were collected for assessment of benthic community composition and abundance. Using a D-net, we collected macroinvertebrates by flipping over 1-3 rocks, and then sweeping five times in a left-to-right motion. For each replicate, bucket contents were concentrated, placed in plastic jars with ~80% ethanol, and stored at ~4°C (Meyer et al., 202X).</w:t>
      </w:r>
    </w:p>
    <w:p w14:paraId="74FC3593" w14:textId="77777777" w:rsidR="00CC26DD" w:rsidRDefault="00CC26DD" w:rsidP="00CC26DD">
      <w:pPr>
        <w:rPr>
          <w:rFonts w:ascii="Times New Roman" w:eastAsia="Times New Roman" w:hAnsi="Times New Roman" w:cs="Times New Roman"/>
          <w:sz w:val="24"/>
          <w:szCs w:val="24"/>
        </w:rPr>
      </w:pPr>
    </w:p>
    <w:p w14:paraId="0AA03726" w14:textId="77777777" w:rsidR="00CC26DD" w:rsidRDefault="00CC26DD" w:rsidP="00CC26DD">
      <w:pPr>
        <w:rPr>
          <w:rFonts w:ascii="Times New Roman" w:eastAsia="Times New Roman" w:hAnsi="Times New Roman" w:cs="Times New Roman"/>
          <w:sz w:val="24"/>
          <w:szCs w:val="24"/>
        </w:rPr>
      </w:pPr>
      <w:r>
        <w:rPr>
          <w:rFonts w:ascii="Times New Roman" w:eastAsia="Times New Roman" w:hAnsi="Times New Roman" w:cs="Times New Roman"/>
          <w:sz w:val="24"/>
          <w:szCs w:val="24"/>
        </w:rPr>
        <w:t>Separate collections were conducted for invertebrate fatty acid and stable isotope analyses. Invertebrates were collected using a D-net in a similar fashion as the community enumeration. Additional invertebrates were also collected by hand. Collected organisms were then live-sorted, identified to species, and frozen at -20°C at</w:t>
      </w:r>
      <w:r>
        <w:rPr>
          <w:rFonts w:ascii="Times New Roman" w:eastAsia="Times New Roman" w:hAnsi="Times New Roman" w:cs="Times New Roman"/>
          <w:color w:val="212121"/>
          <w:sz w:val="24"/>
          <w:szCs w:val="24"/>
          <w:highlight w:val="white"/>
        </w:rPr>
        <w:t xml:space="preserve"> the field station. The samples were later transferred to the lab in the US via a Dewar flask with dry ice.</w:t>
      </w:r>
    </w:p>
    <w:p w14:paraId="3F707243" w14:textId="77777777" w:rsidR="00CC26DD" w:rsidRDefault="00CC26DD" w:rsidP="00CC26DD">
      <w:pPr>
        <w:rPr>
          <w:rFonts w:ascii="Times New Roman" w:eastAsia="Times New Roman" w:hAnsi="Times New Roman" w:cs="Times New Roman"/>
          <w:sz w:val="24"/>
          <w:szCs w:val="24"/>
        </w:rPr>
      </w:pPr>
    </w:p>
    <w:p w14:paraId="57DC5CCA" w14:textId="77777777" w:rsidR="00CC26DD" w:rsidRDefault="00CC26DD" w:rsidP="00CC26DD">
      <w:pPr>
        <w:rPr>
          <w:rFonts w:ascii="Times New Roman" w:eastAsia="Times New Roman" w:hAnsi="Times New Roman" w:cs="Times New Roman"/>
          <w:sz w:val="24"/>
          <w:szCs w:val="24"/>
        </w:rPr>
      </w:pPr>
      <w:bookmarkStart w:id="19" w:name="_Hlk53404042"/>
      <w:r>
        <w:rPr>
          <w:rFonts w:ascii="Times New Roman" w:eastAsia="Times New Roman" w:hAnsi="Times New Roman" w:cs="Times New Roman"/>
          <w:sz w:val="24"/>
          <w:szCs w:val="24"/>
        </w:rPr>
        <w:t>Invertebrate taxonomic identification and enumeration were performed under a stereo microscope. All invertebrates were identified to species with the exception of juveniles (Taakhteev, 2015 for amphipods; Sitnikova, 2012 for molluscs; Table 2). Due to poor preservation, two sites (KD-1 and LI-1) had only one sample counted, and two sites (</w:t>
      </w:r>
      <w:r w:rsidRPr="00320FFE">
        <w:rPr>
          <w:rFonts w:ascii="Times New Roman" w:eastAsia="Times New Roman" w:hAnsi="Times New Roman" w:cs="Times New Roman"/>
          <w:sz w:val="24"/>
          <w:szCs w:val="24"/>
        </w:rPr>
        <w:t>BK-2 and KD-2</w:t>
      </w:r>
      <w:r>
        <w:rPr>
          <w:rFonts w:ascii="Times New Roman" w:eastAsia="Times New Roman" w:hAnsi="Times New Roman" w:cs="Times New Roman"/>
          <w:sz w:val="24"/>
          <w:szCs w:val="24"/>
        </w:rPr>
        <w:t>) had two samples counted (Meyer et al., 202X).</w:t>
      </w:r>
    </w:p>
    <w:bookmarkEnd w:id="19"/>
    <w:p w14:paraId="3BE0932A" w14:textId="77777777" w:rsidR="00CC26DD" w:rsidRDefault="00CC26DD" w:rsidP="00CC26DD">
      <w:pPr>
        <w:rPr>
          <w:rFonts w:ascii="Times New Roman" w:eastAsia="Times New Roman" w:hAnsi="Times New Roman" w:cs="Times New Roman"/>
          <w:sz w:val="24"/>
          <w:szCs w:val="24"/>
        </w:rPr>
      </w:pPr>
    </w:p>
    <w:p w14:paraId="317A8DAC" w14:textId="77777777" w:rsidR="00CC26DD" w:rsidRDefault="00CC26DD" w:rsidP="00CC26D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3c. Food web characterization </w:t>
      </w:r>
    </w:p>
    <w:p w14:paraId="4599CA0A" w14:textId="77777777" w:rsidR="00CC26DD" w:rsidRDefault="00CC26DD" w:rsidP="00CC26DD">
      <w:pPr>
        <w:rPr>
          <w:rFonts w:ascii="Times New Roman" w:eastAsia="Times New Roman" w:hAnsi="Times New Roman" w:cs="Times New Roman"/>
          <w:i/>
          <w:sz w:val="24"/>
          <w:szCs w:val="24"/>
        </w:rPr>
      </w:pPr>
    </w:p>
    <w:p w14:paraId="37E8B135" w14:textId="77777777" w:rsidR="00CC26DD" w:rsidRDefault="00CC26DD" w:rsidP="00CC26DD">
      <w:pPr>
        <w:rPr>
          <w:rFonts w:ascii="Times New Roman" w:eastAsia="Times New Roman" w:hAnsi="Times New Roman" w:cs="Times New Roman"/>
          <w:sz w:val="24"/>
          <w:szCs w:val="24"/>
        </w:rPr>
      </w:pPr>
      <w:r>
        <w:rPr>
          <w:rFonts w:ascii="Times New Roman" w:eastAsia="Times New Roman" w:hAnsi="Times New Roman" w:cs="Times New Roman"/>
          <w:sz w:val="24"/>
          <w:szCs w:val="24"/>
        </w:rPr>
        <w:t>To characterize littoral food webs, we analyzed carbon and nitrogen stables isotopes as well as fatty acid profiles for periphyton and macroinvertebrates.</w:t>
      </w:r>
      <w:r w:rsidRPr="00446481">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color w:val="212121"/>
          <w:sz w:val="24"/>
          <w:szCs w:val="24"/>
          <w:highlight w:val="white"/>
        </w:rPr>
        <w:t>Prior to isotopic and fatty acid analy</w:t>
      </w:r>
      <w:r>
        <w:rPr>
          <w:rFonts w:ascii="Times New Roman" w:eastAsia="Times New Roman" w:hAnsi="Times New Roman" w:cs="Times New Roman"/>
          <w:color w:val="212121"/>
          <w:sz w:val="24"/>
          <w:szCs w:val="24"/>
        </w:rPr>
        <w:t>sis, periphyton and macroinvertebrate samples were</w:t>
      </w:r>
      <w:r>
        <w:rPr>
          <w:rFonts w:ascii="Times New Roman" w:eastAsia="Times New Roman" w:hAnsi="Times New Roman" w:cs="Times New Roman"/>
          <w:color w:val="212121"/>
          <w:sz w:val="24"/>
          <w:szCs w:val="24"/>
          <w:highlight w:val="white"/>
        </w:rPr>
        <w:t xml:space="preserve"> </w:t>
      </w:r>
      <w:commentRangeStart w:id="20"/>
      <w:commentRangeStart w:id="21"/>
      <w:r>
        <w:rPr>
          <w:rFonts w:ascii="Times New Roman" w:eastAsia="Times New Roman" w:hAnsi="Times New Roman" w:cs="Times New Roman"/>
          <w:color w:val="212121"/>
          <w:sz w:val="24"/>
          <w:szCs w:val="24"/>
          <w:highlight w:val="white"/>
        </w:rPr>
        <w:t xml:space="preserve">lyophilized </w:t>
      </w:r>
      <w:commentRangeEnd w:id="20"/>
      <w:r>
        <w:rPr>
          <w:rStyle w:val="CommentReference"/>
        </w:rPr>
        <w:commentReference w:id="20"/>
      </w:r>
      <w:commentRangeEnd w:id="21"/>
      <w:r>
        <w:rPr>
          <w:rStyle w:val="CommentReference"/>
        </w:rPr>
        <w:commentReference w:id="21"/>
      </w:r>
      <w:r>
        <w:rPr>
          <w:rFonts w:ascii="Times New Roman" w:eastAsia="Times New Roman" w:hAnsi="Times New Roman" w:cs="Times New Roman"/>
          <w:color w:val="212121"/>
          <w:sz w:val="24"/>
          <w:szCs w:val="24"/>
          <w:highlight w:val="white"/>
        </w:rPr>
        <w:t xml:space="preserve">for ~24 hours, homogenized to powder, and then weighed. </w:t>
      </w:r>
    </w:p>
    <w:p w14:paraId="74E31458" w14:textId="77777777" w:rsidR="00CC26DD" w:rsidRDefault="00CC26DD" w:rsidP="00CC26DD">
      <w:pPr>
        <w:rPr>
          <w:rFonts w:ascii="Times New Roman" w:eastAsia="Times New Roman" w:hAnsi="Times New Roman" w:cs="Times New Roman"/>
          <w:sz w:val="24"/>
          <w:szCs w:val="24"/>
        </w:rPr>
      </w:pPr>
    </w:p>
    <w:p w14:paraId="469068DB" w14:textId="77777777" w:rsidR="00CC26DD" w:rsidRDefault="00CC26DD" w:rsidP="00CC26DD">
      <w:pPr>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Stable isotope analysis</w:t>
      </w:r>
    </w:p>
    <w:p w14:paraId="2D138130" w14:textId="77777777" w:rsidR="00CC26DD" w:rsidRDefault="00CC26DD" w:rsidP="00CC26DD">
      <w:pPr>
        <w:rPr>
          <w:rFonts w:ascii="Times New Roman" w:eastAsia="Times New Roman" w:hAnsi="Times New Roman" w:cs="Times New Roman"/>
          <w:sz w:val="24"/>
          <w:szCs w:val="24"/>
        </w:rPr>
      </w:pPr>
    </w:p>
    <w:p w14:paraId="604FC9EE" w14:textId="77777777" w:rsidR="00CC26DD" w:rsidRDefault="00CC26DD" w:rsidP="00CC26DD">
      <w:pPr>
        <w:rPr>
          <w:rFonts w:ascii="Times New Roman" w:eastAsia="Times New Roman" w:hAnsi="Times New Roman" w:cs="Times New Roman"/>
          <w:color w:val="212121"/>
          <w:sz w:val="24"/>
          <w:szCs w:val="24"/>
          <w:highlight w:val="white"/>
        </w:rPr>
      </w:pPr>
      <w:bookmarkStart w:id="22" w:name="_Hlk53403964"/>
      <w:r>
        <w:rPr>
          <w:rFonts w:ascii="Times New Roman" w:eastAsia="Times New Roman" w:hAnsi="Times New Roman" w:cs="Times New Roman"/>
          <w:color w:val="212121"/>
          <w:sz w:val="24"/>
          <w:szCs w:val="24"/>
          <w:highlight w:val="white"/>
        </w:rPr>
        <w:t>Measurements of δ</w:t>
      </w:r>
      <w:r w:rsidRPr="00B420AF">
        <w:rPr>
          <w:rFonts w:ascii="Times New Roman" w:eastAsia="Times New Roman" w:hAnsi="Times New Roman" w:cs="Times New Roman"/>
          <w:color w:val="212121"/>
          <w:sz w:val="24"/>
          <w:szCs w:val="24"/>
          <w:highlight w:val="white"/>
          <w:vertAlign w:val="superscript"/>
        </w:rPr>
        <w:t>15</w:t>
      </w:r>
      <w:r>
        <w:rPr>
          <w:rFonts w:ascii="Times New Roman" w:eastAsia="Times New Roman" w:hAnsi="Times New Roman" w:cs="Times New Roman"/>
          <w:color w:val="212121"/>
          <w:sz w:val="24"/>
          <w:szCs w:val="24"/>
          <w:highlight w:val="white"/>
        </w:rPr>
        <w:t>N and δ</w:t>
      </w:r>
      <w:r w:rsidRPr="00B420AF">
        <w:rPr>
          <w:rFonts w:ascii="Times New Roman" w:eastAsia="Times New Roman" w:hAnsi="Times New Roman" w:cs="Times New Roman"/>
          <w:color w:val="212121"/>
          <w:sz w:val="24"/>
          <w:szCs w:val="24"/>
          <w:highlight w:val="white"/>
          <w:vertAlign w:val="superscript"/>
        </w:rPr>
        <w:t>13</w:t>
      </w:r>
      <w:r>
        <w:rPr>
          <w:rFonts w:ascii="Times New Roman" w:eastAsia="Times New Roman" w:hAnsi="Times New Roman" w:cs="Times New Roman"/>
          <w:color w:val="212121"/>
          <w:sz w:val="24"/>
          <w:szCs w:val="24"/>
          <w:highlight w:val="white"/>
        </w:rPr>
        <w:t xml:space="preserve">C were performed on an elemental analyzer-isotope ratio mass spectrometer (EA-IRMS; Finnigan DELTAplus XP, Thermo Scientific). </w:t>
      </w:r>
      <w:r>
        <w:rPr>
          <w:rFonts w:ascii="Times New Roman" w:eastAsia="Times New Roman" w:hAnsi="Times New Roman" w:cs="Times New Roman"/>
          <w:sz w:val="24"/>
          <w:szCs w:val="24"/>
        </w:rPr>
        <w:t>An in-depth stable isotope validation procedure is described in Meyer et al. (202X).</w:t>
      </w:r>
    </w:p>
    <w:bookmarkEnd w:id="22"/>
    <w:p w14:paraId="700291D7" w14:textId="77777777" w:rsidR="00CC26DD" w:rsidRDefault="00CC26DD" w:rsidP="00CC26DD">
      <w:pPr>
        <w:rPr>
          <w:color w:val="212121"/>
          <w:sz w:val="23"/>
          <w:szCs w:val="23"/>
          <w:highlight w:val="white"/>
        </w:rPr>
      </w:pPr>
    </w:p>
    <w:p w14:paraId="2DA1D1E7" w14:textId="77777777" w:rsidR="00CC26DD" w:rsidRDefault="00CC26DD" w:rsidP="00CC26DD">
      <w:pPr>
        <w:rPr>
          <w:rFonts w:ascii="Times New Roman" w:eastAsia="Times New Roman" w:hAnsi="Times New Roman" w:cs="Times New Roman"/>
          <w:sz w:val="24"/>
          <w:szCs w:val="24"/>
        </w:rPr>
      </w:pPr>
      <w:r>
        <w:rPr>
          <w:rFonts w:ascii="Times New Roman" w:eastAsia="Times New Roman" w:hAnsi="Times New Roman" w:cs="Times New Roman"/>
          <w:i/>
          <w:sz w:val="24"/>
          <w:szCs w:val="24"/>
        </w:rPr>
        <w:t>Fatty acid analysis</w:t>
      </w:r>
      <w:r>
        <w:rPr>
          <w:rFonts w:ascii="Times New Roman" w:eastAsia="Times New Roman" w:hAnsi="Times New Roman" w:cs="Times New Roman"/>
          <w:sz w:val="24"/>
          <w:szCs w:val="24"/>
        </w:rPr>
        <w:t xml:space="preserve"> </w:t>
      </w:r>
    </w:p>
    <w:p w14:paraId="33FE5ADE" w14:textId="77777777" w:rsidR="00CC26DD" w:rsidRDefault="00CC26DD" w:rsidP="00CC26DD">
      <w:pPr>
        <w:rPr>
          <w:rFonts w:ascii="Times New Roman" w:eastAsia="Times New Roman" w:hAnsi="Times New Roman" w:cs="Times New Roman"/>
          <w:sz w:val="24"/>
          <w:szCs w:val="24"/>
        </w:rPr>
      </w:pPr>
    </w:p>
    <w:p w14:paraId="3FF0C938" w14:textId="77777777" w:rsidR="00CC26DD" w:rsidRDefault="00CC26DD" w:rsidP="00CC26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freeze-drying, samples were transferred to 10 mL glass centrifuge vials, and 2 mL of 100% chloroform was added to each under nitrogen gas. Samples were allowed to sit in chloroform overnight at -80°C. Fatty acid extractions generally involved three phases: (1) 100% chloroform extraction, (2) chloroform-methanol extraction, and (3) fatty acid methylation (Schram et al., 2018). Fatty acid quantification was performed with a </w:t>
      </w:r>
      <w:r w:rsidRPr="00446481">
        <w:rPr>
          <w:rFonts w:ascii="Times New Roman" w:eastAsia="Times New Roman" w:hAnsi="Times New Roman" w:cs="Times New Roman"/>
          <w:sz w:val="24"/>
          <w:szCs w:val="24"/>
        </w:rPr>
        <w:t>Shimadzu QP2020</w:t>
      </w:r>
      <w:r>
        <w:rPr>
          <w:rFonts w:ascii="Times New Roman" w:eastAsia="Times New Roman" w:hAnsi="Times New Roman" w:cs="Times New Roman"/>
          <w:sz w:val="24"/>
          <w:szCs w:val="24"/>
        </w:rPr>
        <w:t xml:space="preserve"> GC/MS following Schram et al. (2018). An in-depth procedure for fatty acid extraction is described in Meyer et al. (202X).</w:t>
      </w:r>
    </w:p>
    <w:p w14:paraId="1866E4F7" w14:textId="77777777" w:rsidR="000B4353" w:rsidRDefault="00CC26DD">
      <w:bookmarkStart w:id="23" w:name="_GoBack"/>
      <w:bookmarkEnd w:id="23"/>
    </w:p>
    <w:sectPr w:rsidR="000B435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yer, Michael Frederick" w:date="2020-09-30T16:22:00Z" w:initials="MMF">
    <w:p w14:paraId="136449A1" w14:textId="77777777" w:rsidR="00CC26DD" w:rsidRDefault="00CC26DD" w:rsidP="00CC26DD">
      <w:pPr>
        <w:pStyle w:val="CommentText"/>
      </w:pPr>
      <w:r>
        <w:rPr>
          <w:rStyle w:val="CommentReference"/>
        </w:rPr>
        <w:annotationRef/>
      </w:r>
      <w:r>
        <w:t>AF: Interesting procedure.  Did it influence the IDW much? Seems like shoreline and population size should scale.</w:t>
      </w:r>
    </w:p>
  </w:comment>
  <w:comment w:id="2" w:author="Meyer, Michael Frederick" w:date="2020-10-01T12:06:00Z" w:initials="MMF">
    <w:p w14:paraId="096968A1" w14:textId="77777777" w:rsidR="00CC26DD" w:rsidRDefault="00CC26DD" w:rsidP="00CC26DD">
      <w:pPr>
        <w:pStyle w:val="CommentText"/>
      </w:pPr>
      <w:r>
        <w:rPr>
          <w:rStyle w:val="CommentReference"/>
        </w:rPr>
        <w:annotationRef/>
      </w:r>
      <w:r>
        <w:t xml:space="preserve">For reference, I re-calculated IDW population without the shoreline scaling and it does not change the results. All relationships are qualitatively the same. Personally, I think that the shoreline length physically makes the most sense, but in either event the results remain the same. </w:t>
      </w:r>
    </w:p>
  </w:comment>
  <w:comment w:id="3" w:author="Meyer, Michael Frederick" w:date="2020-10-10T13:24:00Z" w:initials="MMF">
    <w:p w14:paraId="2BDF9260" w14:textId="77777777" w:rsidR="00CC26DD" w:rsidRDefault="00CC26DD" w:rsidP="00CC26DD">
      <w:pPr>
        <w:pStyle w:val="CommentText"/>
      </w:pPr>
      <w:r>
        <w:rPr>
          <w:rStyle w:val="CommentReference"/>
        </w:rPr>
        <w:annotationRef/>
      </w:r>
      <w:r>
        <w:t>Does this need to be mentioned in the ms, as a reviewer may ask the same thing?</w:t>
      </w:r>
    </w:p>
  </w:comment>
  <w:comment w:id="5" w:author="Meyer, Michael Frederick" w:date="2020-09-30T16:25:00Z" w:initials="MMF">
    <w:p w14:paraId="3AFF34F5" w14:textId="77777777" w:rsidR="00CC26DD" w:rsidRDefault="00CC26DD" w:rsidP="00CC26DD">
      <w:pPr>
        <w:pStyle w:val="CommentText"/>
      </w:pPr>
      <w:r>
        <w:rPr>
          <w:rStyle w:val="CommentReference"/>
        </w:rPr>
        <w:annotationRef/>
      </w:r>
      <w:r>
        <w:t>AF: Lots of detail here.  The IDW procedure is pretty common so you might not need to describe the method so completely. But ok.</w:t>
      </w:r>
    </w:p>
    <w:p w14:paraId="6B9F6ACD" w14:textId="77777777" w:rsidR="00CC26DD" w:rsidRDefault="00CC26DD" w:rsidP="00CC26DD">
      <w:pPr>
        <w:pStyle w:val="CommentText"/>
      </w:pPr>
    </w:p>
    <w:p w14:paraId="5DD12578" w14:textId="77777777" w:rsidR="00CC26DD" w:rsidRDefault="00CC26DD" w:rsidP="00CC26DD">
      <w:pPr>
        <w:pStyle w:val="CommentText"/>
      </w:pPr>
      <w:r>
        <w:t xml:space="preserve">I am interested to see if the scaling changed the pattern of the IDW map.  </w:t>
      </w:r>
      <w:r w:rsidRPr="00A55FCC">
        <w:rPr>
          <w:i/>
          <w:iCs/>
        </w:rPr>
        <w:t xml:space="preserve">It feels a bit like window dressing to me. </w:t>
      </w:r>
      <w:r>
        <w:t>That is, it is a complicated procedure for something common in the spatial analysis world.</w:t>
      </w:r>
    </w:p>
  </w:comment>
  <w:comment w:id="6" w:author="Meyer, Michael Frederick" w:date="2020-10-01T12:15:00Z" w:initials="MMF">
    <w:p w14:paraId="3B97551F" w14:textId="77777777" w:rsidR="00CC26DD" w:rsidRDefault="00CC26DD" w:rsidP="00CC26DD">
      <w:pPr>
        <w:pStyle w:val="CommentText"/>
      </w:pPr>
      <w:r>
        <w:rPr>
          <w:rStyle w:val="CommentReference"/>
        </w:rPr>
        <w:annotationRef/>
      </w:r>
      <w:r>
        <w:t>I agree that IDW is common, but the only other way I would re-write this is by saying we calculated IDW of shoreline-scaled population density, which I do not think would really cut down on the text length substantially. We would still need to explain what exactly we were IDW-ing…</w:t>
      </w:r>
    </w:p>
  </w:comment>
  <w:comment w:id="13" w:author="Meyer, Michael Frederick" w:date="2020-09-30T16:27:00Z" w:initials="MMF">
    <w:p w14:paraId="37A948A6" w14:textId="77777777" w:rsidR="00CC26DD" w:rsidRDefault="00CC26DD" w:rsidP="00CC26DD">
      <w:pPr>
        <w:pStyle w:val="CommentText"/>
      </w:pPr>
      <w:r>
        <w:rPr>
          <w:rStyle w:val="CommentReference"/>
        </w:rPr>
        <w:annotationRef/>
      </w:r>
      <w:r>
        <w:t>AF: Is this a problem for studying microplastics?</w:t>
      </w:r>
    </w:p>
  </w:comment>
  <w:comment w:id="14" w:author="Meyer, Michael Frederick" w:date="2020-10-01T12:18:00Z" w:initials="MMF">
    <w:p w14:paraId="7454DF98" w14:textId="77777777" w:rsidR="00CC26DD" w:rsidRDefault="00CC26DD" w:rsidP="00CC26DD">
      <w:pPr>
        <w:pStyle w:val="CommentText"/>
      </w:pPr>
      <w:r>
        <w:rPr>
          <w:rStyle w:val="CommentReference"/>
        </w:rPr>
        <w:annotationRef/>
      </w:r>
      <w:r>
        <w:t xml:space="preserve">Included edit in the next paragraph to address this point. </w:t>
      </w:r>
    </w:p>
  </w:comment>
  <w:comment w:id="15" w:author="Meyer, Michael Frederick" w:date="2020-09-30T16:27:00Z" w:initials="MMF">
    <w:p w14:paraId="7712BB82" w14:textId="77777777" w:rsidR="00CC26DD" w:rsidRDefault="00CC26DD" w:rsidP="00CC26DD">
      <w:pPr>
        <w:pStyle w:val="CommentText"/>
      </w:pPr>
      <w:r>
        <w:rPr>
          <w:rStyle w:val="CommentReference"/>
        </w:rPr>
        <w:annotationRef/>
      </w:r>
      <w:r>
        <w:t>AF: How does this control for contamination?</w:t>
      </w:r>
    </w:p>
  </w:comment>
  <w:comment w:id="16" w:author="Meyer, Michael Frederick" w:date="2020-10-01T12:20:00Z" w:initials="MMF">
    <w:p w14:paraId="24B05CA5" w14:textId="77777777" w:rsidR="00CC26DD" w:rsidRDefault="00CC26DD" w:rsidP="00CC26DD">
      <w:pPr>
        <w:pStyle w:val="CommentText"/>
      </w:pPr>
      <w:r>
        <w:rPr>
          <w:rStyle w:val="CommentReference"/>
        </w:rPr>
        <w:annotationRef/>
      </w:r>
      <w:r>
        <w:t>Edit for clarity.</w:t>
      </w:r>
    </w:p>
  </w:comment>
  <w:comment w:id="18" w:author="Meyer, Michael Frederick" w:date="2020-10-10T13:31:00Z" w:initials="MMF">
    <w:p w14:paraId="1CDEE782" w14:textId="77777777" w:rsidR="00CC26DD" w:rsidRDefault="00CC26DD" w:rsidP="00CC26DD">
      <w:pPr>
        <w:pStyle w:val="CommentText"/>
      </w:pPr>
      <w:r>
        <w:rPr>
          <w:rStyle w:val="CommentReference"/>
        </w:rPr>
        <w:annotationRef/>
      </w:r>
      <w:r>
        <w:t>Extra detail added to this section to address comments from AG and AF</w:t>
      </w:r>
    </w:p>
  </w:comment>
  <w:comment w:id="20" w:author="Meyer, Michael Frederick" w:date="2020-09-24T18:19:00Z" w:initials="MMF">
    <w:p w14:paraId="2E64173B" w14:textId="77777777" w:rsidR="00CC26DD" w:rsidRDefault="00CC26DD" w:rsidP="00CC26DD">
      <w:pPr>
        <w:pStyle w:val="CommentText"/>
      </w:pPr>
      <w:r>
        <w:rPr>
          <w:rStyle w:val="CommentReference"/>
        </w:rPr>
        <w:annotationRef/>
      </w:r>
      <w:r>
        <w:t xml:space="preserve">Aaron added this word. I’m down with it, but I am unsure if it applies similarly to stable isotopes AND Fatty Acids. </w:t>
      </w:r>
    </w:p>
  </w:comment>
  <w:comment w:id="21" w:author="Meyer, Michael Frederick" w:date="2020-10-10T13:32:00Z" w:initials="MMF">
    <w:p w14:paraId="50DC0454" w14:textId="77777777" w:rsidR="00CC26DD" w:rsidRDefault="00CC26DD" w:rsidP="00CC26DD">
      <w:pPr>
        <w:pStyle w:val="CommentText"/>
      </w:pPr>
      <w:r>
        <w:rPr>
          <w:rStyle w:val="CommentReference"/>
        </w:rPr>
        <w:annotationRef/>
      </w:r>
      <w:r>
        <w:t xml:space="preserve">Apparently it means “to freeze-dry” so okay?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6449A1" w15:done="0"/>
  <w15:commentEx w15:paraId="096968A1" w15:paraIdParent="136449A1" w15:done="0"/>
  <w15:commentEx w15:paraId="2BDF9260" w15:paraIdParent="136449A1" w15:done="0"/>
  <w15:commentEx w15:paraId="5DD12578" w15:done="0"/>
  <w15:commentEx w15:paraId="3B97551F" w15:paraIdParent="5DD12578" w15:done="0"/>
  <w15:commentEx w15:paraId="37A948A6" w15:done="0"/>
  <w15:commentEx w15:paraId="7454DF98" w15:paraIdParent="37A948A6" w15:done="0"/>
  <w15:commentEx w15:paraId="7712BB82" w15:done="0"/>
  <w15:commentEx w15:paraId="24B05CA5" w15:paraIdParent="7712BB82" w15:done="0"/>
  <w15:commentEx w15:paraId="1CDEE782" w15:done="0"/>
  <w15:commentEx w15:paraId="2E64173B" w15:done="0"/>
  <w15:commentEx w15:paraId="50DC0454" w15:paraIdParent="2E6417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6449A1" w16cid:durableId="231F2F49"/>
  <w16cid:commentId w16cid:paraId="096968A1" w16cid:durableId="232044AE"/>
  <w16cid:commentId w16cid:paraId="2BDF9260" w16cid:durableId="232C349B"/>
  <w16cid:commentId w16cid:paraId="5DD12578" w16cid:durableId="231F3017"/>
  <w16cid:commentId w16cid:paraId="3B97551F" w16cid:durableId="232046ED"/>
  <w16cid:commentId w16cid:paraId="37A948A6" w16cid:durableId="231F305B"/>
  <w16cid:commentId w16cid:paraId="7454DF98" w16cid:durableId="23204790"/>
  <w16cid:commentId w16cid:paraId="7712BB82" w16cid:durableId="231F307F"/>
  <w16cid:commentId w16cid:paraId="24B05CA5" w16cid:durableId="232047F3"/>
  <w16cid:commentId w16cid:paraId="1CDEE782" w16cid:durableId="232C363F"/>
  <w16cid:commentId w16cid:paraId="2E64173B" w16cid:durableId="231761A4"/>
  <w16cid:commentId w16cid:paraId="50DC0454" w16cid:durableId="232C36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47945"/>
    <w:multiLevelType w:val="hybridMultilevel"/>
    <w:tmpl w:val="23864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yer, Michael Frederick">
    <w15:presenceInfo w15:providerId="AD" w15:userId="S-1-5-21-861567501-115176313-682003330-38604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6DD"/>
    <w:rsid w:val="004A492D"/>
    <w:rsid w:val="00941A28"/>
    <w:rsid w:val="00CC2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57C5"/>
  <w15:chartTrackingRefBased/>
  <w15:docId w15:val="{DD25E12F-9B27-46B9-87A6-16B814E6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C26DD"/>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C26DD"/>
    <w:pPr>
      <w:spacing w:line="240" w:lineRule="auto"/>
    </w:pPr>
    <w:rPr>
      <w:sz w:val="24"/>
      <w:szCs w:val="24"/>
    </w:rPr>
  </w:style>
  <w:style w:type="character" w:customStyle="1" w:styleId="CommentTextChar">
    <w:name w:val="Comment Text Char"/>
    <w:basedOn w:val="DefaultParagraphFont"/>
    <w:link w:val="CommentText"/>
    <w:uiPriority w:val="99"/>
    <w:rsid w:val="00CC26DD"/>
    <w:rPr>
      <w:rFonts w:ascii="Arial" w:eastAsia="Arial" w:hAnsi="Arial" w:cs="Arial"/>
      <w:sz w:val="24"/>
      <w:szCs w:val="24"/>
      <w:lang w:val="en"/>
    </w:rPr>
  </w:style>
  <w:style w:type="character" w:styleId="CommentReference">
    <w:name w:val="annotation reference"/>
    <w:basedOn w:val="DefaultParagraphFont"/>
    <w:uiPriority w:val="99"/>
    <w:semiHidden/>
    <w:unhideWhenUsed/>
    <w:rsid w:val="00CC26DD"/>
    <w:rPr>
      <w:sz w:val="18"/>
      <w:szCs w:val="18"/>
    </w:rPr>
  </w:style>
  <w:style w:type="paragraph" w:styleId="ListParagraph">
    <w:name w:val="List Paragraph"/>
    <w:basedOn w:val="Normal"/>
    <w:uiPriority w:val="34"/>
    <w:qFormat/>
    <w:rsid w:val="00CC26DD"/>
    <w:pPr>
      <w:ind w:left="720"/>
      <w:contextualSpacing/>
    </w:pPr>
  </w:style>
  <w:style w:type="paragraph" w:styleId="BalloonText">
    <w:name w:val="Balloon Text"/>
    <w:basedOn w:val="Normal"/>
    <w:link w:val="BalloonTextChar"/>
    <w:uiPriority w:val="99"/>
    <w:semiHidden/>
    <w:unhideWhenUsed/>
    <w:rsid w:val="00CC26D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6DD"/>
    <w:rPr>
      <w:rFonts w:ascii="Segoe UI" w:eastAsia="Arial" w:hAnsi="Segoe UI" w:cs="Segoe UI"/>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2686</Words>
  <Characters>15312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Michael Frederick</dc:creator>
  <cp:keywords/>
  <dc:description/>
  <cp:lastModifiedBy>Meyer, Michael Frederick</cp:lastModifiedBy>
  <cp:revision>1</cp:revision>
  <dcterms:created xsi:type="dcterms:W3CDTF">2020-10-15T18:05:00Z</dcterms:created>
  <dcterms:modified xsi:type="dcterms:W3CDTF">2020-10-15T18:09:00Z</dcterms:modified>
</cp:coreProperties>
</file>