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44852" w14:textId="7148BCE7" w:rsidR="001F5583" w:rsidRDefault="001F5583" w:rsidP="001F5583">
      <w:pPr>
        <w:rPr>
          <w:rFonts w:ascii="Times New Roman" w:hAnsi="Times New Roman" w:cs="Times New Roman"/>
          <w:sz w:val="24"/>
          <w:szCs w:val="24"/>
        </w:rPr>
      </w:pPr>
      <w:r>
        <w:rPr>
          <w:rFonts w:ascii="Times New Roman" w:hAnsi="Times New Roman" w:cs="Times New Roman"/>
          <w:sz w:val="24"/>
          <w:szCs w:val="24"/>
        </w:rPr>
        <w:t>Statement of Significance</w:t>
      </w:r>
      <w:r w:rsidR="00B8524B">
        <w:rPr>
          <w:rFonts w:ascii="Times New Roman" w:hAnsi="Times New Roman" w:cs="Times New Roman"/>
          <w:sz w:val="24"/>
          <w:szCs w:val="24"/>
        </w:rPr>
        <w:t xml:space="preserve"> for Limnology &amp; Oceanography</w:t>
      </w:r>
    </w:p>
    <w:p w14:paraId="7120CDE4" w14:textId="1287AAED" w:rsidR="001F5583" w:rsidRDefault="001F5583" w:rsidP="001F5583">
      <w:pPr>
        <w:rPr>
          <w:rFonts w:ascii="Times New Roman" w:hAnsi="Times New Roman" w:cs="Times New Roman"/>
          <w:sz w:val="24"/>
          <w:szCs w:val="24"/>
        </w:rPr>
      </w:pPr>
    </w:p>
    <w:p w14:paraId="79B50CC0" w14:textId="2F63C4C5" w:rsidR="001F5583" w:rsidRDefault="001F5583" w:rsidP="001F5583">
      <w:pPr>
        <w:rPr>
          <w:rFonts w:ascii="Times New Roman" w:hAnsi="Times New Roman" w:cs="Times New Roman"/>
          <w:sz w:val="24"/>
          <w:szCs w:val="24"/>
        </w:rPr>
      </w:pPr>
      <w:r w:rsidRPr="001F5583">
        <w:rPr>
          <w:rFonts w:ascii="Times New Roman" w:hAnsi="Times New Roman" w:cs="Times New Roman"/>
          <w:sz w:val="24"/>
          <w:szCs w:val="24"/>
        </w:rPr>
        <w:t>At submission you will be required to enter a brief statement of the novelty, significance, and breadth of interest of the science presented in the proposed manuscript (</w:t>
      </w:r>
      <w:r w:rsidRPr="001F5583">
        <w:rPr>
          <w:rFonts w:ascii="Times New Roman" w:hAnsi="Times New Roman" w:cs="Times New Roman"/>
          <w:b/>
          <w:sz w:val="24"/>
          <w:szCs w:val="24"/>
        </w:rPr>
        <w:t>200 words or fewer</w:t>
      </w:r>
      <w:r w:rsidRPr="001F5583">
        <w:rPr>
          <w:rFonts w:ascii="Times New Roman" w:hAnsi="Times New Roman" w:cs="Times New Roman"/>
          <w:sz w:val="24"/>
          <w:szCs w:val="24"/>
        </w:rPr>
        <w:t>), as well as a statement indicating why L&amp;O is the best outlet for the work (</w:t>
      </w:r>
      <w:r w:rsidRPr="001F5583">
        <w:rPr>
          <w:rFonts w:ascii="Times New Roman" w:hAnsi="Times New Roman" w:cs="Times New Roman"/>
          <w:b/>
          <w:sz w:val="24"/>
          <w:szCs w:val="24"/>
        </w:rPr>
        <w:t>100 words or fewer</w:t>
      </w:r>
      <w:r w:rsidRPr="001F5583">
        <w:rPr>
          <w:rFonts w:ascii="Times New Roman" w:hAnsi="Times New Roman" w:cs="Times New Roman"/>
          <w:sz w:val="24"/>
          <w:szCs w:val="24"/>
        </w:rPr>
        <w:t>). The statement of significance will be provided to the editors and reviewers, but will not be included in the final version of an accepted manuscript.</w:t>
      </w:r>
    </w:p>
    <w:p w14:paraId="21808FD0" w14:textId="5C19D4A9" w:rsidR="001F5583" w:rsidRDefault="001F5583" w:rsidP="001F5583">
      <w:pPr>
        <w:rPr>
          <w:rFonts w:ascii="Times New Roman" w:hAnsi="Times New Roman" w:cs="Times New Roman"/>
          <w:sz w:val="24"/>
          <w:szCs w:val="24"/>
        </w:rPr>
      </w:pPr>
    </w:p>
    <w:p w14:paraId="660036C7" w14:textId="28AAB4B0" w:rsidR="001F5583" w:rsidRPr="001F32A3" w:rsidRDefault="001F32A3" w:rsidP="001F5583">
      <w:pPr>
        <w:rPr>
          <w:rFonts w:ascii="Times New Roman" w:hAnsi="Times New Roman" w:cs="Times New Roman"/>
          <w:b/>
          <w:sz w:val="24"/>
          <w:szCs w:val="24"/>
        </w:rPr>
      </w:pPr>
      <w:r w:rsidRPr="001F32A3">
        <w:rPr>
          <w:rFonts w:ascii="Times New Roman" w:hAnsi="Times New Roman" w:cs="Times New Roman"/>
          <w:b/>
          <w:sz w:val="24"/>
          <w:szCs w:val="24"/>
        </w:rPr>
        <w:t>a brief statement of the novelty, significance, and breadth of interest of the science presented in the proposed manuscript (</w:t>
      </w:r>
      <w:r>
        <w:rPr>
          <w:rFonts w:ascii="Times New Roman" w:hAnsi="Times New Roman" w:cs="Times New Roman"/>
          <w:b/>
          <w:sz w:val="24"/>
          <w:szCs w:val="24"/>
        </w:rPr>
        <w:t xml:space="preserve">196 of </w:t>
      </w:r>
      <w:r w:rsidRPr="001F32A3">
        <w:rPr>
          <w:rFonts w:ascii="Times New Roman" w:hAnsi="Times New Roman" w:cs="Times New Roman"/>
          <w:b/>
          <w:sz w:val="24"/>
          <w:szCs w:val="24"/>
        </w:rPr>
        <w:t>200 wo</w:t>
      </w:r>
      <w:r>
        <w:rPr>
          <w:rFonts w:ascii="Times New Roman" w:hAnsi="Times New Roman" w:cs="Times New Roman"/>
          <w:b/>
          <w:sz w:val="24"/>
          <w:szCs w:val="24"/>
        </w:rPr>
        <w:t>rds</w:t>
      </w:r>
      <w:r w:rsidRPr="001F32A3">
        <w:rPr>
          <w:rFonts w:ascii="Times New Roman" w:hAnsi="Times New Roman" w:cs="Times New Roman"/>
          <w:b/>
          <w:sz w:val="24"/>
          <w:szCs w:val="24"/>
        </w:rPr>
        <w:t>)</w:t>
      </w:r>
    </w:p>
    <w:p w14:paraId="737817B2" w14:textId="77777777" w:rsidR="001F32A3" w:rsidRDefault="001F32A3" w:rsidP="001F5583">
      <w:pPr>
        <w:rPr>
          <w:rFonts w:ascii="Times New Roman" w:hAnsi="Times New Roman" w:cs="Times New Roman"/>
          <w:sz w:val="24"/>
          <w:szCs w:val="24"/>
        </w:rPr>
      </w:pPr>
    </w:p>
    <w:p w14:paraId="58731CE4" w14:textId="4EF8470D" w:rsidR="001F5583" w:rsidRDefault="00385009" w:rsidP="001F5583">
      <w:pPr>
        <w:rPr>
          <w:rFonts w:ascii="Times New Roman" w:hAnsi="Times New Roman" w:cs="Times New Roman"/>
          <w:sz w:val="24"/>
          <w:szCs w:val="24"/>
        </w:rPr>
      </w:pPr>
      <w:r>
        <w:rPr>
          <w:rFonts w:ascii="Times New Roman" w:hAnsi="Times New Roman" w:cs="Times New Roman"/>
          <w:sz w:val="24"/>
          <w:szCs w:val="24"/>
        </w:rPr>
        <w:t xml:space="preserve">Our </w:t>
      </w:r>
      <w:r w:rsidR="001F5583">
        <w:rPr>
          <w:rFonts w:ascii="Times New Roman" w:hAnsi="Times New Roman" w:cs="Times New Roman"/>
          <w:sz w:val="24"/>
          <w:szCs w:val="24"/>
        </w:rPr>
        <w:t>manuscript is a</w:t>
      </w:r>
      <w:r>
        <w:rPr>
          <w:rFonts w:ascii="Times New Roman" w:hAnsi="Times New Roman" w:cs="Times New Roman"/>
          <w:sz w:val="24"/>
          <w:szCs w:val="24"/>
        </w:rPr>
        <w:t xml:space="preserve">n </w:t>
      </w:r>
      <w:r w:rsidR="001F5583">
        <w:rPr>
          <w:rFonts w:ascii="Times New Roman" w:hAnsi="Times New Roman" w:cs="Times New Roman"/>
          <w:sz w:val="24"/>
          <w:szCs w:val="24"/>
        </w:rPr>
        <w:t>analysis of how sewage contributed from small lakeside developments on Lake Baikal’s shoreline (80-1,963 permanent residents) is chang</w:t>
      </w:r>
      <w:r>
        <w:rPr>
          <w:rFonts w:ascii="Times New Roman" w:hAnsi="Times New Roman" w:cs="Times New Roman"/>
          <w:sz w:val="24"/>
          <w:szCs w:val="24"/>
        </w:rPr>
        <w:t>ing</w:t>
      </w:r>
      <w:r w:rsidR="001F5583">
        <w:rPr>
          <w:rFonts w:ascii="Times New Roman" w:hAnsi="Times New Roman" w:cs="Times New Roman"/>
          <w:sz w:val="24"/>
          <w:szCs w:val="24"/>
        </w:rPr>
        <w:t xml:space="preserve"> nearshore community compositions and food webs. Because nutrients </w:t>
      </w:r>
      <w:r>
        <w:rPr>
          <w:rFonts w:ascii="Times New Roman" w:hAnsi="Times New Roman" w:cs="Times New Roman"/>
          <w:sz w:val="24"/>
          <w:szCs w:val="24"/>
        </w:rPr>
        <w:t>could come</w:t>
      </w:r>
      <w:r w:rsidR="001F5583">
        <w:rPr>
          <w:rFonts w:ascii="Times New Roman" w:hAnsi="Times New Roman" w:cs="Times New Roman"/>
          <w:sz w:val="24"/>
          <w:szCs w:val="24"/>
        </w:rPr>
        <w:t xml:space="preserve"> from multiple sources within </w:t>
      </w:r>
      <w:r>
        <w:rPr>
          <w:rFonts w:ascii="Times New Roman" w:hAnsi="Times New Roman" w:cs="Times New Roman"/>
          <w:sz w:val="24"/>
          <w:szCs w:val="24"/>
        </w:rPr>
        <w:t>Baikal’s</w:t>
      </w:r>
      <w:r w:rsidR="001F5583">
        <w:rPr>
          <w:rFonts w:ascii="Times New Roman" w:hAnsi="Times New Roman" w:cs="Times New Roman"/>
          <w:sz w:val="24"/>
          <w:szCs w:val="24"/>
        </w:rPr>
        <w:t xml:space="preserve"> watershed (e.g., permafrost, </w:t>
      </w:r>
      <w:r w:rsidR="005C31EC">
        <w:rPr>
          <w:rFonts w:ascii="Times New Roman" w:hAnsi="Times New Roman" w:cs="Times New Roman"/>
          <w:sz w:val="24"/>
          <w:szCs w:val="24"/>
        </w:rPr>
        <w:t>agriculture</w:t>
      </w:r>
      <w:r w:rsidR="001F5583">
        <w:rPr>
          <w:rFonts w:ascii="Times New Roman" w:hAnsi="Times New Roman" w:cs="Times New Roman"/>
          <w:sz w:val="24"/>
          <w:szCs w:val="24"/>
        </w:rPr>
        <w:t>), we use</w:t>
      </w:r>
      <w:r>
        <w:rPr>
          <w:rFonts w:ascii="Times New Roman" w:hAnsi="Times New Roman" w:cs="Times New Roman"/>
          <w:sz w:val="24"/>
          <w:szCs w:val="24"/>
        </w:rPr>
        <w:t xml:space="preserve">d consistent sewage indicators </w:t>
      </w:r>
      <w:r w:rsidR="00390919">
        <w:rPr>
          <w:rFonts w:ascii="Times New Roman" w:hAnsi="Times New Roman" w:cs="Times New Roman"/>
          <w:sz w:val="24"/>
          <w:szCs w:val="24"/>
        </w:rPr>
        <w:t>- pharmaceuticals</w:t>
      </w:r>
      <w:r w:rsidR="001F5583">
        <w:rPr>
          <w:rFonts w:ascii="Times New Roman" w:hAnsi="Times New Roman" w:cs="Times New Roman"/>
          <w:sz w:val="24"/>
          <w:szCs w:val="24"/>
        </w:rPr>
        <w:t xml:space="preserve"> and personal care products</w:t>
      </w:r>
      <w:r>
        <w:rPr>
          <w:rFonts w:ascii="Times New Roman" w:hAnsi="Times New Roman" w:cs="Times New Roman"/>
          <w:sz w:val="24"/>
          <w:szCs w:val="24"/>
        </w:rPr>
        <w:t xml:space="preserve"> (PPCPs) and stable isotopes -</w:t>
      </w:r>
      <w:r w:rsidR="001F5583">
        <w:rPr>
          <w:rFonts w:ascii="Times New Roman" w:hAnsi="Times New Roman" w:cs="Times New Roman"/>
          <w:sz w:val="24"/>
          <w:szCs w:val="24"/>
        </w:rPr>
        <w:t xml:space="preserve"> across </w:t>
      </w:r>
      <w:r>
        <w:rPr>
          <w:rFonts w:ascii="Times New Roman" w:hAnsi="Times New Roman" w:cs="Times New Roman"/>
          <w:sz w:val="24"/>
          <w:szCs w:val="24"/>
        </w:rPr>
        <w:t xml:space="preserve">40 km </w:t>
      </w:r>
      <w:r w:rsidR="001F5583">
        <w:rPr>
          <w:rFonts w:ascii="Times New Roman" w:hAnsi="Times New Roman" w:cs="Times New Roman"/>
          <w:sz w:val="24"/>
          <w:szCs w:val="24"/>
        </w:rPr>
        <w:t xml:space="preserve">to link sewage indicators with human activity. To assess biotic responses, we compare indicator concentrations with co-located benthic algal and macroinvertebrate community compositions </w:t>
      </w:r>
      <w:r w:rsidR="00390919">
        <w:rPr>
          <w:rFonts w:ascii="Times New Roman" w:hAnsi="Times New Roman" w:cs="Times New Roman"/>
          <w:sz w:val="24"/>
          <w:szCs w:val="24"/>
        </w:rPr>
        <w:t>and</w:t>
      </w:r>
      <w:r w:rsidR="001F5583">
        <w:rPr>
          <w:rFonts w:ascii="Times New Roman" w:hAnsi="Times New Roman" w:cs="Times New Roman"/>
          <w:sz w:val="24"/>
          <w:szCs w:val="24"/>
        </w:rPr>
        <w:t xml:space="preserve"> food web metrics (stable isotopes and fatty acids)</w:t>
      </w:r>
      <w:r>
        <w:rPr>
          <w:rFonts w:ascii="Times New Roman" w:hAnsi="Times New Roman" w:cs="Times New Roman"/>
          <w:sz w:val="24"/>
          <w:szCs w:val="24"/>
        </w:rPr>
        <w:t xml:space="preserve">. Our combined results suggest that despite the small </w:t>
      </w:r>
      <w:r w:rsidR="00390919">
        <w:rPr>
          <w:rFonts w:ascii="Times New Roman" w:hAnsi="Times New Roman" w:cs="Times New Roman"/>
          <w:sz w:val="24"/>
          <w:szCs w:val="24"/>
        </w:rPr>
        <w:t xml:space="preserve">human </w:t>
      </w:r>
      <w:r>
        <w:rPr>
          <w:rFonts w:ascii="Times New Roman" w:hAnsi="Times New Roman" w:cs="Times New Roman"/>
          <w:sz w:val="24"/>
          <w:szCs w:val="24"/>
        </w:rPr>
        <w:t xml:space="preserve">population living </w:t>
      </w:r>
      <w:r w:rsidR="00390919">
        <w:rPr>
          <w:rFonts w:ascii="Times New Roman" w:hAnsi="Times New Roman" w:cs="Times New Roman"/>
          <w:sz w:val="24"/>
          <w:szCs w:val="24"/>
        </w:rPr>
        <w:t>on</w:t>
      </w:r>
      <w:r>
        <w:rPr>
          <w:rFonts w:ascii="Times New Roman" w:hAnsi="Times New Roman" w:cs="Times New Roman"/>
          <w:sz w:val="24"/>
          <w:szCs w:val="24"/>
        </w:rPr>
        <w:t xml:space="preserve"> Lake Baikal’s shoreline, sewage contributed from these </w:t>
      </w:r>
      <w:r w:rsidR="00390919">
        <w:rPr>
          <w:rFonts w:ascii="Times New Roman" w:hAnsi="Times New Roman" w:cs="Times New Roman"/>
          <w:sz w:val="24"/>
          <w:szCs w:val="24"/>
        </w:rPr>
        <w:t>settlements</w:t>
      </w:r>
      <w:r>
        <w:rPr>
          <w:rFonts w:ascii="Times New Roman" w:hAnsi="Times New Roman" w:cs="Times New Roman"/>
          <w:sz w:val="24"/>
          <w:szCs w:val="24"/>
        </w:rPr>
        <w:t xml:space="preserve"> can have marked ecological </w:t>
      </w:r>
      <w:r w:rsidR="00390919">
        <w:rPr>
          <w:rFonts w:ascii="Times New Roman" w:hAnsi="Times New Roman" w:cs="Times New Roman"/>
          <w:sz w:val="24"/>
          <w:szCs w:val="24"/>
        </w:rPr>
        <w:t>consequences</w:t>
      </w:r>
      <w:r>
        <w:rPr>
          <w:rFonts w:ascii="Times New Roman" w:hAnsi="Times New Roman" w:cs="Times New Roman"/>
          <w:sz w:val="24"/>
          <w:szCs w:val="24"/>
        </w:rPr>
        <w:t>. We believe this manuscript will be of interest to a wide L&amp;O readership, as we incorporate novel micropollutants for assessing sewage presence</w:t>
      </w:r>
      <w:r w:rsidR="00390919">
        <w:rPr>
          <w:rFonts w:ascii="Times New Roman" w:hAnsi="Times New Roman" w:cs="Times New Roman"/>
          <w:sz w:val="24"/>
          <w:szCs w:val="24"/>
        </w:rPr>
        <w:t xml:space="preserve"> </w:t>
      </w:r>
      <w:r>
        <w:rPr>
          <w:rFonts w:ascii="Times New Roman" w:hAnsi="Times New Roman" w:cs="Times New Roman"/>
          <w:sz w:val="24"/>
          <w:szCs w:val="24"/>
        </w:rPr>
        <w:t xml:space="preserve">to explain </w:t>
      </w:r>
      <w:r w:rsidR="00390919">
        <w:rPr>
          <w:rFonts w:ascii="Times New Roman" w:hAnsi="Times New Roman" w:cs="Times New Roman"/>
          <w:sz w:val="24"/>
          <w:szCs w:val="24"/>
        </w:rPr>
        <w:t>heterogeneity</w:t>
      </w:r>
      <w:r>
        <w:rPr>
          <w:rFonts w:ascii="Times New Roman" w:hAnsi="Times New Roman" w:cs="Times New Roman"/>
          <w:sz w:val="24"/>
          <w:szCs w:val="24"/>
        </w:rPr>
        <w:t xml:space="preserve"> in </w:t>
      </w:r>
      <w:r w:rsidR="00390919">
        <w:rPr>
          <w:rFonts w:ascii="Times New Roman" w:hAnsi="Times New Roman" w:cs="Times New Roman"/>
          <w:sz w:val="24"/>
          <w:szCs w:val="24"/>
        </w:rPr>
        <w:t xml:space="preserve">nearshore </w:t>
      </w:r>
      <w:r>
        <w:rPr>
          <w:rFonts w:ascii="Times New Roman" w:hAnsi="Times New Roman" w:cs="Times New Roman"/>
          <w:sz w:val="24"/>
          <w:szCs w:val="24"/>
        </w:rPr>
        <w:t>ecological food webs. While our main goal was to understand how communities restructure across a sewage gradient, our Discussion section highlight</w:t>
      </w:r>
      <w:r w:rsidR="00390919">
        <w:rPr>
          <w:rFonts w:ascii="Times New Roman" w:hAnsi="Times New Roman" w:cs="Times New Roman"/>
          <w:sz w:val="24"/>
          <w:szCs w:val="24"/>
        </w:rPr>
        <w:t>s</w:t>
      </w:r>
      <w:r>
        <w:rPr>
          <w:rFonts w:ascii="Times New Roman" w:hAnsi="Times New Roman" w:cs="Times New Roman"/>
          <w:sz w:val="24"/>
          <w:szCs w:val="24"/>
        </w:rPr>
        <w:t xml:space="preserve"> a </w:t>
      </w:r>
      <w:r w:rsidR="00390919">
        <w:rPr>
          <w:rFonts w:ascii="Times New Roman" w:hAnsi="Times New Roman" w:cs="Times New Roman"/>
          <w:sz w:val="24"/>
          <w:szCs w:val="24"/>
        </w:rPr>
        <w:t>suite</w:t>
      </w:r>
      <w:r>
        <w:rPr>
          <w:rFonts w:ascii="Times New Roman" w:hAnsi="Times New Roman" w:cs="Times New Roman"/>
          <w:sz w:val="24"/>
          <w:szCs w:val="24"/>
        </w:rPr>
        <w:t xml:space="preserve"> of potential work for future study, such as examining eco-toxicological responses to PPCPs and microplastics and evaluating how Baikal’s amphipods maintain a consistent nutritional status despite food resources changing. </w:t>
      </w:r>
    </w:p>
    <w:p w14:paraId="7DA77C7A" w14:textId="5135706D" w:rsidR="00390919" w:rsidRDefault="00390919" w:rsidP="001F5583">
      <w:pPr>
        <w:rPr>
          <w:rFonts w:ascii="Times New Roman" w:hAnsi="Times New Roman" w:cs="Times New Roman"/>
          <w:sz w:val="24"/>
          <w:szCs w:val="24"/>
        </w:rPr>
      </w:pPr>
    </w:p>
    <w:p w14:paraId="0A26EC1A" w14:textId="081201E4" w:rsidR="001F32A3" w:rsidRPr="001F32A3" w:rsidRDefault="001F32A3" w:rsidP="001F5583">
      <w:pPr>
        <w:rPr>
          <w:rFonts w:ascii="Times New Roman" w:hAnsi="Times New Roman" w:cs="Times New Roman"/>
          <w:b/>
          <w:sz w:val="24"/>
          <w:szCs w:val="24"/>
        </w:rPr>
      </w:pPr>
      <w:r w:rsidRPr="001F32A3">
        <w:rPr>
          <w:rFonts w:ascii="Times New Roman" w:hAnsi="Times New Roman" w:cs="Times New Roman"/>
          <w:b/>
          <w:sz w:val="24"/>
          <w:szCs w:val="24"/>
        </w:rPr>
        <w:t>statement indicating why L&amp;O is the best outlet for the work (79 of 100 words)</w:t>
      </w:r>
    </w:p>
    <w:p w14:paraId="325B9356" w14:textId="77777777" w:rsidR="001F32A3" w:rsidRDefault="001F32A3" w:rsidP="001F5583">
      <w:pPr>
        <w:rPr>
          <w:rFonts w:ascii="Times New Roman" w:hAnsi="Times New Roman" w:cs="Times New Roman"/>
          <w:sz w:val="24"/>
          <w:szCs w:val="24"/>
        </w:rPr>
      </w:pPr>
    </w:p>
    <w:p w14:paraId="6EDE2315" w14:textId="3F3254AB" w:rsidR="00390919" w:rsidRDefault="00390919" w:rsidP="001F5583">
      <w:pPr>
        <w:rPr>
          <w:rFonts w:ascii="Times New Roman" w:hAnsi="Times New Roman" w:cs="Times New Roman"/>
          <w:sz w:val="24"/>
          <w:szCs w:val="24"/>
        </w:rPr>
      </w:pPr>
      <w:r>
        <w:rPr>
          <w:rFonts w:ascii="Times New Roman" w:hAnsi="Times New Roman" w:cs="Times New Roman"/>
          <w:sz w:val="24"/>
          <w:szCs w:val="24"/>
        </w:rPr>
        <w:t>We believe that L&amp;O is the best outlet for this work, as our study both combines aspects of basic and applied limnology as well as explicitly expands on how our results can benefit management efforts. Recognizing that our study would likely appeal to an interdisciplinary, wide-ranging readership base in academia, governmental agencies, and management positions, we believe t</w:t>
      </w:r>
      <w:r w:rsidR="001F32A3">
        <w:rPr>
          <w:rFonts w:ascii="Times New Roman" w:hAnsi="Times New Roman" w:cs="Times New Roman"/>
          <w:sz w:val="24"/>
          <w:szCs w:val="24"/>
        </w:rPr>
        <w:t xml:space="preserve">hat’s L&amp;O’s ability to centralize each of these readership groups in a single hub will ensure our work reaches a diverse, global audience. </w:t>
      </w:r>
    </w:p>
    <w:p w14:paraId="5B44EC73" w14:textId="77777777" w:rsidR="001F5583" w:rsidRDefault="001F5583" w:rsidP="001F5583">
      <w:pPr>
        <w:rPr>
          <w:rFonts w:ascii="Times New Roman" w:hAnsi="Times New Roman" w:cs="Times New Roman"/>
          <w:sz w:val="24"/>
          <w:szCs w:val="24"/>
        </w:rPr>
      </w:pPr>
    </w:p>
    <w:p w14:paraId="6C1CDB9A" w14:textId="77777777" w:rsidR="001F32A3" w:rsidRDefault="001F32A3" w:rsidP="001F5583">
      <w:pPr>
        <w:rPr>
          <w:rFonts w:ascii="Times New Roman" w:hAnsi="Times New Roman" w:cs="Times New Roman"/>
          <w:sz w:val="24"/>
          <w:szCs w:val="24"/>
        </w:rPr>
      </w:pPr>
      <w:r>
        <w:rPr>
          <w:rFonts w:ascii="Times New Roman" w:hAnsi="Times New Roman" w:cs="Times New Roman"/>
          <w:sz w:val="24"/>
          <w:szCs w:val="24"/>
        </w:rPr>
        <w:t xml:space="preserve">Reviewers: </w:t>
      </w:r>
    </w:p>
    <w:p w14:paraId="5EC0E312" w14:textId="74B114C9" w:rsidR="001F32A3" w:rsidRDefault="001F5583" w:rsidP="001F32A3">
      <w:pPr>
        <w:pStyle w:val="ListParagraph"/>
        <w:numPr>
          <w:ilvl w:val="0"/>
          <w:numId w:val="1"/>
        </w:numPr>
        <w:rPr>
          <w:rFonts w:ascii="Times New Roman" w:hAnsi="Times New Roman" w:cs="Times New Roman"/>
          <w:sz w:val="24"/>
          <w:szCs w:val="24"/>
        </w:rPr>
      </w:pPr>
      <w:r w:rsidRPr="001F32A3">
        <w:rPr>
          <w:rFonts w:ascii="Times New Roman" w:hAnsi="Times New Roman" w:cs="Times New Roman"/>
          <w:sz w:val="24"/>
          <w:szCs w:val="24"/>
        </w:rPr>
        <w:t>Karen Kidd (McMaster University, ​</w:t>
      </w:r>
      <w:r w:rsidR="001F32A3" w:rsidRPr="001F32A3">
        <w:rPr>
          <w:rFonts w:ascii="Times New Roman" w:hAnsi="Times New Roman" w:cs="Times New Roman"/>
          <w:sz w:val="24"/>
          <w:szCs w:val="24"/>
        </w:rPr>
        <w:t>karenkidd@mcmaster.ca</w:t>
      </w:r>
      <w:r w:rsidRPr="001F32A3">
        <w:rPr>
          <w:rFonts w:ascii="Times New Roman" w:hAnsi="Times New Roman" w:cs="Times New Roman"/>
          <w:sz w:val="24"/>
          <w:szCs w:val="24"/>
        </w:rPr>
        <w:t xml:space="preserve">), </w:t>
      </w:r>
    </w:p>
    <w:p w14:paraId="33215A7A" w14:textId="26CA5798" w:rsidR="001F32A3" w:rsidRDefault="001F32A3" w:rsidP="001F32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Sudeep Chandra (University of </w:t>
      </w:r>
      <w:proofErr w:type="spellStart"/>
      <w:r>
        <w:rPr>
          <w:rFonts w:ascii="Times New Roman" w:hAnsi="Times New Roman" w:cs="Times New Roman"/>
          <w:sz w:val="24"/>
          <w:szCs w:val="24"/>
        </w:rPr>
        <w:t>Nevasa</w:t>
      </w:r>
      <w:proofErr w:type="spellEnd"/>
      <w:r>
        <w:rPr>
          <w:rFonts w:ascii="Times New Roman" w:hAnsi="Times New Roman" w:cs="Times New Roman"/>
          <w:sz w:val="24"/>
          <w:szCs w:val="24"/>
        </w:rPr>
        <w:t xml:space="preserve"> – Reno, </w:t>
      </w:r>
      <w:r w:rsidRPr="001F32A3">
        <w:rPr>
          <w:rFonts w:ascii="Times New Roman" w:hAnsi="Times New Roman" w:cs="Times New Roman"/>
          <w:sz w:val="24"/>
          <w:szCs w:val="24"/>
        </w:rPr>
        <w:t>sudeep@unr.edu</w:t>
      </w:r>
      <w:r>
        <w:rPr>
          <w:rFonts w:ascii="Times New Roman" w:hAnsi="Times New Roman" w:cs="Times New Roman"/>
          <w:sz w:val="24"/>
          <w:szCs w:val="24"/>
        </w:rPr>
        <w:t>)</w:t>
      </w:r>
    </w:p>
    <w:p w14:paraId="7DBF8485" w14:textId="7EBE171D" w:rsidR="001F32A3" w:rsidRDefault="001F32A3" w:rsidP="001F32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Sarah </w:t>
      </w:r>
      <w:proofErr w:type="spellStart"/>
      <w:r>
        <w:rPr>
          <w:rFonts w:ascii="Times New Roman" w:hAnsi="Times New Roman" w:cs="Times New Roman"/>
          <w:sz w:val="24"/>
          <w:szCs w:val="24"/>
        </w:rPr>
        <w:t>Whorley</w:t>
      </w:r>
      <w:proofErr w:type="spellEnd"/>
      <w:r>
        <w:rPr>
          <w:rFonts w:ascii="Times New Roman" w:hAnsi="Times New Roman" w:cs="Times New Roman"/>
          <w:sz w:val="24"/>
          <w:szCs w:val="24"/>
        </w:rPr>
        <w:t xml:space="preserve"> (Daemen College, </w:t>
      </w:r>
      <w:r w:rsidRPr="001F32A3">
        <w:rPr>
          <w:rFonts w:ascii="Times New Roman" w:hAnsi="Times New Roman" w:cs="Times New Roman"/>
          <w:sz w:val="24"/>
          <w:szCs w:val="24"/>
        </w:rPr>
        <w:t>swhorley@daemen.edu</w:t>
      </w:r>
      <w:r>
        <w:rPr>
          <w:rFonts w:ascii="Times New Roman" w:hAnsi="Times New Roman" w:cs="Times New Roman"/>
          <w:sz w:val="24"/>
          <w:szCs w:val="24"/>
        </w:rPr>
        <w:t>)</w:t>
      </w:r>
    </w:p>
    <w:p w14:paraId="3F766479" w14:textId="426A48FE" w:rsidR="00B8524B" w:rsidRDefault="001F32A3" w:rsidP="001F32A3">
      <w:pPr>
        <w:pStyle w:val="ListParagraph"/>
        <w:numPr>
          <w:ilvl w:val="0"/>
          <w:numId w:val="1"/>
        </w:numPr>
        <w:rPr>
          <w:rFonts w:ascii="Times New Roman" w:hAnsi="Times New Roman" w:cs="Times New Roman"/>
          <w:sz w:val="24"/>
          <w:szCs w:val="24"/>
        </w:rPr>
      </w:pPr>
      <w:proofErr w:type="spellStart"/>
      <w:r w:rsidRPr="001F32A3">
        <w:rPr>
          <w:rFonts w:ascii="Times New Roman" w:hAnsi="Times New Roman" w:cs="Times New Roman"/>
          <w:sz w:val="24"/>
          <w:szCs w:val="24"/>
        </w:rPr>
        <w:t>Annelie</w:t>
      </w:r>
      <w:proofErr w:type="spellEnd"/>
      <w:r w:rsidRPr="001F32A3">
        <w:rPr>
          <w:rFonts w:ascii="Times New Roman" w:hAnsi="Times New Roman" w:cs="Times New Roman"/>
          <w:sz w:val="24"/>
          <w:szCs w:val="24"/>
        </w:rPr>
        <w:t xml:space="preserve"> </w:t>
      </w:r>
      <w:proofErr w:type="spellStart"/>
      <w:r>
        <w:rPr>
          <w:rFonts w:ascii="Times New Roman" w:hAnsi="Times New Roman" w:cs="Times New Roman"/>
          <w:sz w:val="24"/>
          <w:szCs w:val="24"/>
        </w:rPr>
        <w:t>La</w:t>
      </w:r>
      <w:r w:rsidRPr="001F32A3">
        <w:rPr>
          <w:rFonts w:ascii="Times New Roman" w:hAnsi="Times New Roman" w:cs="Times New Roman"/>
          <w:sz w:val="24"/>
          <w:szCs w:val="24"/>
        </w:rPr>
        <w:t>gesson</w:t>
      </w:r>
      <w:proofErr w:type="spellEnd"/>
      <w:r w:rsidRPr="001F32A3">
        <w:rPr>
          <w:rFonts w:ascii="Times New Roman" w:hAnsi="Times New Roman" w:cs="Times New Roman"/>
          <w:sz w:val="24"/>
          <w:szCs w:val="24"/>
        </w:rPr>
        <w:t xml:space="preserve"> (Umea University</w:t>
      </w:r>
      <w:r w:rsidRPr="001F32A3">
        <w:t xml:space="preserve"> </w:t>
      </w:r>
      <w:r w:rsidRPr="001F32A3">
        <w:rPr>
          <w:rFonts w:ascii="Times New Roman" w:hAnsi="Times New Roman" w:cs="Times New Roman"/>
          <w:sz w:val="24"/>
          <w:szCs w:val="24"/>
        </w:rPr>
        <w:t>annelie.lagessong@gmail.com</w:t>
      </w:r>
      <w:r>
        <w:rPr>
          <w:rFonts w:ascii="Times New Roman" w:hAnsi="Times New Roman" w:cs="Times New Roman"/>
          <w:sz w:val="24"/>
          <w:szCs w:val="24"/>
        </w:rPr>
        <w:t xml:space="preserve">) </w:t>
      </w:r>
    </w:p>
    <w:p w14:paraId="027F1BB5" w14:textId="77777777" w:rsidR="00B8524B" w:rsidRDefault="00B8524B">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32736B2" w14:textId="1C11F66E" w:rsidR="000B4353" w:rsidRDefault="006732B2" w:rsidP="00B8524B">
      <w:r>
        <w:lastRenderedPageBreak/>
        <w:t>Significance Statement for Limnology &amp; Oceanography Letters</w:t>
      </w:r>
      <w:r w:rsidR="001A45F4">
        <w:t xml:space="preserve"> (124 of 125 words)</w:t>
      </w:r>
    </w:p>
    <w:p w14:paraId="78279BBF" w14:textId="271165ED" w:rsidR="005C31EC" w:rsidRDefault="005C31EC" w:rsidP="00B8524B">
      <w:r>
        <w:t>This significance statement is included in the final publication…</w:t>
      </w:r>
    </w:p>
    <w:p w14:paraId="38D74DD3" w14:textId="36D1686D" w:rsidR="006732B2" w:rsidRDefault="006732B2" w:rsidP="00B8524B"/>
    <w:p w14:paraId="1A9FF019" w14:textId="25CA9491" w:rsidR="006732B2" w:rsidRDefault="006732B2" w:rsidP="006732B2">
      <w:r>
        <w:t>We present a unified dataset of sewage indicator</w:t>
      </w:r>
      <w:r w:rsidR="000166B0">
        <w:t xml:space="preserve">s with co-located </w:t>
      </w:r>
      <w:r w:rsidR="00EA7153">
        <w:t xml:space="preserve">littoral, </w:t>
      </w:r>
      <w:r w:rsidR="000166B0">
        <w:t>benthic community and food web metrics from Lake Baikal. While researchers have studied Baikal’s endemic species for centuries, i</w:t>
      </w:r>
      <w:r>
        <w:t xml:space="preserve">t is unusual to find community abundance data for Baikal's littoral taxa in an accessible and </w:t>
      </w:r>
      <w:r w:rsidR="00D2338D">
        <w:t>machine-readable</w:t>
      </w:r>
      <w:r>
        <w:t xml:space="preserve"> format. </w:t>
      </w:r>
      <w:r w:rsidR="00EA7153">
        <w:t xml:space="preserve">To make Baikal community and food web data more accessible to researchers, the data are archived with all data aggregation scripts on the Environmental Data Initiative (EDI) as 10 separate CSV files. By incorporating a scripted, </w:t>
      </w:r>
      <w:r>
        <w:t>sequential</w:t>
      </w:r>
      <w:r w:rsidR="00EA7153">
        <w:t xml:space="preserve"> workflow and having each file structured in a “tidy” format</w:t>
      </w:r>
      <w:r w:rsidR="00D2338D">
        <w:t>,</w:t>
      </w:r>
      <w:r w:rsidR="00EA7153">
        <w:t xml:space="preserve"> these data</w:t>
      </w:r>
      <w:r>
        <w:t xml:space="preserve"> could be </w:t>
      </w:r>
      <w:r w:rsidR="00D2338D">
        <w:t xml:space="preserve">repurposed </w:t>
      </w:r>
      <w:r>
        <w:t>by limnologists or even in limnology class</w:t>
      </w:r>
      <w:r w:rsidR="00EA7153">
        <w:t>es</w:t>
      </w:r>
      <w:r>
        <w:t xml:space="preserve"> as teaching materials and a guide for structuring directory architectures through a scripted cleaning, aggregation, and analysis format.</w:t>
      </w:r>
    </w:p>
    <w:p w14:paraId="67B24628" w14:textId="3D3A514F" w:rsidR="005C31EC" w:rsidRDefault="005C31EC" w:rsidP="006732B2"/>
    <w:p w14:paraId="014E294E" w14:textId="69166B05" w:rsidR="005C31EC" w:rsidRDefault="005C31EC" w:rsidP="006732B2">
      <w:r>
        <w:t>Possible reviewers:</w:t>
      </w:r>
    </w:p>
    <w:p w14:paraId="1C149BB9" w14:textId="6061A6CE" w:rsidR="005C31EC" w:rsidRDefault="005C31EC" w:rsidP="005C31EC">
      <w:pPr>
        <w:pStyle w:val="ListParagraph"/>
        <w:numPr>
          <w:ilvl w:val="0"/>
          <w:numId w:val="1"/>
        </w:numPr>
      </w:pPr>
      <w:r>
        <w:t xml:space="preserve">Jordan S. Read (US Geological Survey, </w:t>
      </w:r>
      <w:hyperlink r:id="rId5" w:history="1">
        <w:r w:rsidRPr="0037553E">
          <w:rPr>
            <w:rStyle w:val="Hyperlink"/>
          </w:rPr>
          <w:t>jread@usgs.gov</w:t>
        </w:r>
      </w:hyperlink>
      <w:r>
        <w:t>)</w:t>
      </w:r>
    </w:p>
    <w:p w14:paraId="1B434F85" w14:textId="167BE039" w:rsidR="005C31EC" w:rsidRDefault="005C31EC" w:rsidP="005C31EC">
      <w:pPr>
        <w:pStyle w:val="ListParagraph"/>
        <w:numPr>
          <w:ilvl w:val="0"/>
          <w:numId w:val="1"/>
        </w:numPr>
      </w:pPr>
      <w:r>
        <w:t xml:space="preserve">Alison Appling (US Geology Survey, </w:t>
      </w:r>
      <w:hyperlink r:id="rId6" w:history="1">
        <w:r>
          <w:rPr>
            <w:rStyle w:val="Hyperlink"/>
            <w:rFonts w:ascii="Source Sans Pro" w:hAnsi="Source Sans Pro"/>
            <w:color w:val="1D5AAB"/>
            <w:sz w:val="21"/>
            <w:szCs w:val="21"/>
            <w:shd w:val="clear" w:color="auto" w:fill="FFFFFF"/>
          </w:rPr>
          <w:t>aappling@usgs.gov</w:t>
        </w:r>
      </w:hyperlink>
      <w:r>
        <w:t>)</w:t>
      </w:r>
    </w:p>
    <w:p w14:paraId="2955BAE2" w14:textId="7824B9D6" w:rsidR="005C31EC" w:rsidRDefault="005C31EC" w:rsidP="005C31EC">
      <w:pPr>
        <w:pStyle w:val="ListParagraph"/>
        <w:numPr>
          <w:ilvl w:val="0"/>
          <w:numId w:val="1"/>
        </w:numPr>
      </w:pPr>
      <w:r>
        <w:t xml:space="preserve">Kendra Spence </w:t>
      </w:r>
      <w:proofErr w:type="spellStart"/>
      <w:r>
        <w:t>Cheruvelil</w:t>
      </w:r>
      <w:proofErr w:type="spellEnd"/>
      <w:r>
        <w:t xml:space="preserve"> (Michigan State University, </w:t>
      </w:r>
      <w:hyperlink r:id="rId7" w:history="1">
        <w:r>
          <w:rPr>
            <w:rStyle w:val="Hyperlink"/>
            <w:rFonts w:ascii="Arial" w:hAnsi="Arial" w:cs="Arial"/>
            <w:color w:val="18453B"/>
            <w:sz w:val="23"/>
            <w:szCs w:val="23"/>
            <w:u w:val="none"/>
          </w:rPr>
          <w:t>ksc@msu.edu</w:t>
        </w:r>
      </w:hyperlink>
      <w:r>
        <w:t>)</w:t>
      </w:r>
    </w:p>
    <w:p w14:paraId="33FA3D94" w14:textId="7293AB88" w:rsidR="005C31EC" w:rsidRDefault="005C31EC" w:rsidP="005C31EC">
      <w:pPr>
        <w:pStyle w:val="ListParagraph"/>
        <w:numPr>
          <w:ilvl w:val="0"/>
          <w:numId w:val="1"/>
        </w:numPr>
      </w:pPr>
      <w:r>
        <w:t xml:space="preserve">Sapna Sharma (York University, </w:t>
      </w:r>
      <w:r w:rsidRPr="005C31EC">
        <w:t>sharma11@yorku.ca</w:t>
      </w:r>
      <w:r>
        <w:t>)</w:t>
      </w:r>
    </w:p>
    <w:p w14:paraId="26288182" w14:textId="77777777" w:rsidR="005C31EC" w:rsidRDefault="005C31EC" w:rsidP="005C31EC">
      <w:pPr>
        <w:ind w:left="360"/>
      </w:pPr>
      <w:bookmarkStart w:id="0" w:name="_GoBack"/>
      <w:bookmarkEnd w:id="0"/>
    </w:p>
    <w:sectPr w:rsidR="005C3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94990"/>
    <w:multiLevelType w:val="hybridMultilevel"/>
    <w:tmpl w:val="A9661E7A"/>
    <w:lvl w:ilvl="0" w:tplc="DACAF4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583"/>
    <w:rsid w:val="000166B0"/>
    <w:rsid w:val="001A45F4"/>
    <w:rsid w:val="001F32A3"/>
    <w:rsid w:val="001F5583"/>
    <w:rsid w:val="00385009"/>
    <w:rsid w:val="00390919"/>
    <w:rsid w:val="004A492D"/>
    <w:rsid w:val="005C31EC"/>
    <w:rsid w:val="006732B2"/>
    <w:rsid w:val="006E7AC3"/>
    <w:rsid w:val="00760101"/>
    <w:rsid w:val="00941A28"/>
    <w:rsid w:val="00B8524B"/>
    <w:rsid w:val="00D2338D"/>
    <w:rsid w:val="00EA7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CA0D"/>
  <w15:chartTrackingRefBased/>
  <w15:docId w15:val="{524CB036-E7BC-4F91-9AD0-5F3111C70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58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2A3"/>
    <w:pPr>
      <w:ind w:left="720"/>
      <w:contextualSpacing/>
    </w:pPr>
  </w:style>
  <w:style w:type="character" w:styleId="Hyperlink">
    <w:name w:val="Hyperlink"/>
    <w:basedOn w:val="DefaultParagraphFont"/>
    <w:uiPriority w:val="99"/>
    <w:unhideWhenUsed/>
    <w:rsid w:val="001F32A3"/>
    <w:rPr>
      <w:color w:val="0563C1" w:themeColor="hyperlink"/>
      <w:u w:val="single"/>
    </w:rPr>
  </w:style>
  <w:style w:type="character" w:styleId="UnresolvedMention">
    <w:name w:val="Unresolved Mention"/>
    <w:basedOn w:val="DefaultParagraphFont"/>
    <w:uiPriority w:val="99"/>
    <w:semiHidden/>
    <w:unhideWhenUsed/>
    <w:rsid w:val="001F3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33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sc@m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appling@usgs.gov" TargetMode="External"/><Relationship Id="rId5" Type="http://schemas.openxmlformats.org/officeDocument/2006/relationships/hyperlink" Target="mailto:jread@usgs.g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Michael Frederick</dc:creator>
  <cp:keywords/>
  <dc:description/>
  <cp:lastModifiedBy>Meyer, Michael Frederick</cp:lastModifiedBy>
  <cp:revision>4</cp:revision>
  <dcterms:created xsi:type="dcterms:W3CDTF">2020-12-13T23:22:00Z</dcterms:created>
  <dcterms:modified xsi:type="dcterms:W3CDTF">2020-12-15T23:14:00Z</dcterms:modified>
</cp:coreProperties>
</file>