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55DD" w14:textId="77777777" w:rsidR="001A5785" w:rsidRDefault="001A5785" w:rsidP="001A5785">
      <w:r w:rsidRPr="001A5785">
        <w:rPr>
          <w:b/>
          <w:bCs/>
        </w:rPr>
        <w:t>Abstract</w:t>
      </w:r>
    </w:p>
    <w:p w14:paraId="0CAA5F29" w14:textId="15A4196D" w:rsidR="003E6D30" w:rsidRDefault="001A5785" w:rsidP="00FF0BCD">
      <w:pPr>
        <w:ind w:firstLine="720"/>
      </w:pPr>
      <w:r w:rsidRPr="001A5785">
        <w:t xml:space="preserve">From 2012 to 2024, 5,558 cases of </w:t>
      </w:r>
      <w:r w:rsidR="00FF0BCD">
        <w:t xml:space="preserve">invasive </w:t>
      </w:r>
      <w:r w:rsidRPr="001A5785">
        <w:t>Group A Streptococcus (GAS)</w:t>
      </w:r>
      <w:r w:rsidR="00FF0BCD">
        <w:t xml:space="preserve"> in North Carolina</w:t>
      </w:r>
      <w:r w:rsidRPr="001A5785">
        <w:t xml:space="preserve"> were identified and analyzed to evaluate trends in demographic and risk-related characteristics. A linear increase in total GAS cases was observed across the study period</w:t>
      </w:r>
      <w:r>
        <w:t>.</w:t>
      </w:r>
      <w:r w:rsidRPr="001A5785">
        <w:t xml:space="preserve"> The incidence of GAS showed a linear upward trend by</w:t>
      </w:r>
      <w:r w:rsidR="00FF0BCD">
        <w:t xml:space="preserve"> long-term care facility residency (LTCF),</w:t>
      </w:r>
      <w:r w:rsidRPr="001A5785">
        <w:t xml:space="preserve"> gender, Hispanic ethnicity, individuals identifying as white or black</w:t>
      </w:r>
      <w:r w:rsidR="00FF0BCD">
        <w:t>, and patients older than the median case age of 55 years</w:t>
      </w:r>
      <w:r w:rsidRPr="001A5785">
        <w:t xml:space="preserve">. In contrast, non-linear increases were detected in </w:t>
      </w:r>
      <w:r>
        <w:t>cases among</w:t>
      </w:r>
      <w:r w:rsidRPr="001A5785">
        <w:t xml:space="preserve"> post-surgical</w:t>
      </w:r>
      <w:r w:rsidR="00FF0BCD">
        <w:t xml:space="preserve"> GAS</w:t>
      </w:r>
      <w:r w:rsidRPr="001A5785">
        <w:t xml:space="preserve"> infections, GAS-associated mortality</w:t>
      </w:r>
      <w:r w:rsidR="00FF0BCD">
        <w:t>, and</w:t>
      </w:r>
      <w:r w:rsidR="00FF0BCD" w:rsidRPr="00FF0BCD">
        <w:t xml:space="preserve"> </w:t>
      </w:r>
      <w:r w:rsidR="00FF0BCD" w:rsidRPr="001A5785">
        <w:t xml:space="preserve">injection drug </w:t>
      </w:r>
      <w:r w:rsidR="00FF0BCD">
        <w:t>use identified in GAS events from 2018 to 2024</w:t>
      </w:r>
      <w:r w:rsidRPr="001A5785">
        <w:t>. Racial groups identified as Asian, American Indian/Alaska Native (AI/AN), or ‘</w:t>
      </w:r>
      <w:r w:rsidR="00922125">
        <w:t>Other/</w:t>
      </w:r>
      <w:r w:rsidR="00FF0BCD">
        <w:t>Two or more races</w:t>
      </w:r>
      <w:r w:rsidRPr="001A5785">
        <w:t xml:space="preserve">’ also exhibited non-linear upward trends. </w:t>
      </w:r>
      <w:r w:rsidR="003E6D30" w:rsidRPr="001A5785">
        <w:t xml:space="preserve">Trend linearity was assessed using the </w:t>
      </w:r>
      <w:r w:rsidR="00922125">
        <w:t>R- squared</w:t>
      </w:r>
      <w:r w:rsidR="002832C9">
        <w:t xml:space="preserve"> </w:t>
      </w:r>
      <w:r w:rsidR="003E6D30" w:rsidRPr="001A5785">
        <w:t>coefficient of determination (R²), with variables showing R² ≥ 0.50 considered to have a linear trend and those with R² &lt; 0.50 considered non-linear. Linear trends were evaluated using the Cochran-Armitage trend test, while non-linear trends were analyzed using the Mann-Kendall trend test.</w:t>
      </w:r>
    </w:p>
    <w:p w14:paraId="1CB8F3B3" w14:textId="44444943" w:rsidR="001A5785" w:rsidRPr="001A5785" w:rsidRDefault="003E6D30" w:rsidP="00FF0BCD">
      <w:pPr>
        <w:ind w:firstLine="720"/>
      </w:pPr>
      <w:r>
        <w:t>S</w:t>
      </w:r>
      <w:r w:rsidR="001A5785" w:rsidRPr="001A5785">
        <w:t>everal</w:t>
      </w:r>
      <w:r>
        <w:t xml:space="preserve"> </w:t>
      </w:r>
      <w:r w:rsidR="001A5785" w:rsidRPr="001A5785">
        <w:t>increases</w:t>
      </w:r>
      <w:r>
        <w:t xml:space="preserve"> across categories</w:t>
      </w:r>
      <w:r w:rsidR="001A5785" w:rsidRPr="001A5785">
        <w:t xml:space="preserve"> were statistically significant</w:t>
      </w:r>
      <w:r w:rsidR="00FF0BCD">
        <w:t xml:space="preserve"> at the p &lt; 0.05 level</w:t>
      </w:r>
      <w:r w:rsidR="001A5785" w:rsidRPr="001A5785">
        <w:t>. Specifically, GAS incidence significantly increased among individuals</w:t>
      </w:r>
      <w:r>
        <w:t xml:space="preserve"> with race</w:t>
      </w:r>
      <w:r w:rsidR="001A5785" w:rsidRPr="001A5785">
        <w:t xml:space="preserve"> classified as ‘</w:t>
      </w:r>
      <w:r w:rsidR="00922125">
        <w:t>Other/Two or more races</w:t>
      </w:r>
      <w:r w:rsidR="00922125">
        <w:t xml:space="preserve">,’ </w:t>
      </w:r>
      <w:r w:rsidR="001A5785" w:rsidRPr="001A5785">
        <w:t>AI/AN, black</w:t>
      </w:r>
      <w:r w:rsidR="00922125">
        <w:t xml:space="preserve">, </w:t>
      </w:r>
      <w:r w:rsidR="001A5785" w:rsidRPr="001A5785">
        <w:t xml:space="preserve">white </w:t>
      </w:r>
      <w:r w:rsidR="00922125">
        <w:t>and those identifying Hispanic ethnicity</w:t>
      </w:r>
      <w:r w:rsidR="001A5785" w:rsidRPr="001A5785">
        <w:t xml:space="preserve">. Mortality associated with GAS </w:t>
      </w:r>
      <w:r w:rsidR="00FF0BCD">
        <w:t xml:space="preserve">and LTCF residency </w:t>
      </w:r>
      <w:r w:rsidR="001A5785" w:rsidRPr="001A5785">
        <w:t xml:space="preserve">also </w:t>
      </w:r>
      <w:r w:rsidR="00FF0BCD">
        <w:t>showed</w:t>
      </w:r>
      <w:r w:rsidR="001A5785" w:rsidRPr="001A5785">
        <w:t xml:space="preserve"> a statistically significant increase.</w:t>
      </w:r>
      <w:r w:rsidR="00FF0BCD">
        <w:t xml:space="preserve"> </w:t>
      </w:r>
      <w:r w:rsidR="001A5785" w:rsidRPr="001A5785">
        <w:t xml:space="preserve">Other observed increases, </w:t>
      </w:r>
      <w:r w:rsidR="00543A04">
        <w:t>including</w:t>
      </w:r>
      <w:r w:rsidR="001A5785" w:rsidRPr="001A5785">
        <w:t xml:space="preserve"> individuals who inject drugs, those who had undergone invasive surgery, and those older than 55 years, were not statistically significant, though trends suggested rising incidence.</w:t>
      </w:r>
    </w:p>
    <w:p w14:paraId="3CD535D6" w14:textId="6AB1BFB7" w:rsidR="001A5785" w:rsidRPr="001A5785" w:rsidRDefault="001A5785" w:rsidP="003E6D30">
      <w:pPr>
        <w:ind w:firstLine="720"/>
      </w:pPr>
      <w:r w:rsidRPr="001A5785">
        <w:t xml:space="preserve">This study highlights both demographic and risk factors in the epidemiology of GAS infections. Statistically significant increases in </w:t>
      </w:r>
      <w:r w:rsidR="00FF0BCD">
        <w:t>multiple specific</w:t>
      </w:r>
      <w:r w:rsidRPr="001A5785">
        <w:t xml:space="preserve"> populations emphasize the need for targeted public health interventions, particularly among minority racial groups</w:t>
      </w:r>
      <w:r w:rsidR="00FF0BCD">
        <w:t xml:space="preserve">, LTCF residents, </w:t>
      </w:r>
      <w:r w:rsidRPr="001A5785">
        <w:t xml:space="preserve">and </w:t>
      </w:r>
      <w:r w:rsidR="003E6D30">
        <w:t>in combating</w:t>
      </w:r>
      <w:r w:rsidRPr="001A5785">
        <w:t xml:space="preserve"> mortality trends. The</w:t>
      </w:r>
      <w:r w:rsidR="00FF0BCD">
        <w:t xml:space="preserve"> risk </w:t>
      </w:r>
      <w:r w:rsidRPr="001A5785">
        <w:t xml:space="preserve">of injection drug use and post-surgical complications </w:t>
      </w:r>
      <w:r w:rsidR="00FF0BCD">
        <w:t xml:space="preserve">as </w:t>
      </w:r>
      <w:r w:rsidR="00FF0BCD">
        <w:t>mode</w:t>
      </w:r>
      <w:r w:rsidR="00FF0BCD">
        <w:t>s</w:t>
      </w:r>
      <w:r w:rsidR="00FF0BCD">
        <w:t xml:space="preserve"> of </w:t>
      </w:r>
      <w:r w:rsidR="00FF0BCD" w:rsidRPr="001A5785">
        <w:t xml:space="preserve">transmission </w:t>
      </w:r>
      <w:r w:rsidRPr="001A5785">
        <w:t xml:space="preserve">also suggest a </w:t>
      </w:r>
      <w:r w:rsidR="003E6D30">
        <w:t>rise in</w:t>
      </w:r>
      <w:r w:rsidRPr="001A5785">
        <w:t xml:space="preserve"> GAS </w:t>
      </w:r>
      <w:r w:rsidR="00FF0BCD">
        <w:t>events</w:t>
      </w:r>
      <w:r w:rsidRPr="001A5785">
        <w:t xml:space="preserve">. Further research is </w:t>
      </w:r>
      <w:r w:rsidR="003E6D30">
        <w:t>needed</w:t>
      </w:r>
      <w:r w:rsidRPr="001A5785">
        <w:t xml:space="preserve"> to refine trend estimates and assess the impact of interventions in these subpopulations.</w:t>
      </w:r>
    </w:p>
    <w:p w14:paraId="39A0E59A" w14:textId="77777777" w:rsidR="00786D19" w:rsidRDefault="00786D19"/>
    <w:sectPr w:rsidR="00786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85"/>
    <w:rsid w:val="001A5785"/>
    <w:rsid w:val="002832C9"/>
    <w:rsid w:val="003E6D30"/>
    <w:rsid w:val="003F0D88"/>
    <w:rsid w:val="00543A04"/>
    <w:rsid w:val="00786D19"/>
    <w:rsid w:val="00922125"/>
    <w:rsid w:val="00B86CCA"/>
    <w:rsid w:val="00D76FEC"/>
    <w:rsid w:val="00F03B87"/>
    <w:rsid w:val="00FF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110D"/>
  <w15:chartTrackingRefBased/>
  <w15:docId w15:val="{FAA5AC1F-195A-4096-9847-56054C82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Hoskins, mikhail</dc:creator>
  <cp:keywords/>
  <dc:description/>
  <cp:lastModifiedBy>Misha Hoskins</cp:lastModifiedBy>
  <cp:revision>4</cp:revision>
  <dcterms:created xsi:type="dcterms:W3CDTF">2025-09-09T23:50:00Z</dcterms:created>
  <dcterms:modified xsi:type="dcterms:W3CDTF">2025-09-09T23:55:00Z</dcterms:modified>
</cp:coreProperties>
</file>