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48BB" w14:textId="5EFDAF76" w:rsidR="00786D19" w:rsidRPr="00841B0A" w:rsidRDefault="00841B0A">
      <w:pPr>
        <w:rPr>
          <w:b/>
          <w:bCs/>
        </w:rPr>
      </w:pPr>
      <w:bookmarkStart w:id="0" w:name="_Hlk213313287"/>
      <w:bookmarkEnd w:id="0"/>
      <w:r w:rsidRPr="00841B0A">
        <w:rPr>
          <w:b/>
          <w:bCs/>
        </w:rPr>
        <w:t>Evaluating Medicare prescribing practices in North Carolina, 2018-2023</w:t>
      </w:r>
    </w:p>
    <w:p w14:paraId="6C7B3F8E" w14:textId="1A3F924A" w:rsidR="00841B0A" w:rsidRDefault="00841B0A" w:rsidP="00C0671A">
      <w:pPr>
        <w:ind w:firstLine="720"/>
      </w:pPr>
      <w:r>
        <w:t xml:space="preserve">High antibiotic prescribing can lead to increased antimicrobial resistance. Before we even assess appropriateness of antibiotic prescribing, we need to establish what high volume prescribing looks like in North Carolina. </w:t>
      </w:r>
      <w:r w:rsidR="00AC70BC">
        <w:t xml:space="preserve">How do we evaluate what drives antibiotic prescribing practices in </w:t>
      </w:r>
      <w:r w:rsidR="004F1645">
        <w:t xml:space="preserve">the </w:t>
      </w:r>
      <w:r w:rsidR="00AC70BC">
        <w:t>North Carolina</w:t>
      </w:r>
      <w:r w:rsidR="004F1645">
        <w:t xml:space="preserve"> Medicare population</w:t>
      </w:r>
      <w:r w:rsidR="00AC70BC">
        <w:t>?</w:t>
      </w:r>
      <w:r w:rsidR="004F1645">
        <w:t xml:space="preserve"> Who is prescribing the most? Is prescribing regional</w:t>
      </w:r>
      <w:r w:rsidR="00653932">
        <w:t xml:space="preserve"> or dependent on specialty</w:t>
      </w:r>
      <w:r w:rsidR="004F1645">
        <w:t xml:space="preserve">? What is the best model to use? Here I explain </w:t>
      </w:r>
      <w:r>
        <w:t>a modeling approach</w:t>
      </w:r>
      <w:r w:rsidR="004F1645">
        <w:t xml:space="preserve"> to analyzing antibiotic claim rate by both population density where the provider is located and by practice specialty type.</w:t>
      </w:r>
      <w:r>
        <w:t xml:space="preserve"> This adds a further level of analysis to current literature which has been limited to single-predictor models. See here for an example: </w:t>
      </w:r>
      <w:hyperlink r:id="rId7" w:history="1">
        <w:r w:rsidRPr="00841B0A">
          <w:rPr>
            <w:rStyle w:val="Hyperlink"/>
          </w:rPr>
          <w:t>https://www.cdc.gov/mmwr/volumes/71/wr/pdfs/mm7106a3-H.pdf</w:t>
        </w:r>
      </w:hyperlink>
    </w:p>
    <w:p w14:paraId="220414B5" w14:textId="00CA5067" w:rsidR="004F1645" w:rsidRDefault="004F1645" w:rsidP="00C0671A">
      <w:pPr>
        <w:ind w:firstLine="720"/>
      </w:pPr>
      <w:r>
        <w:t xml:space="preserve"> </w:t>
      </w:r>
      <w:r w:rsidR="00C0671A">
        <w:t xml:space="preserve">Using Medicare claims data from 2018-2023 and only prescribers who have greater than ten antibiotic claims per year, we can evaluate prescribing volume based on rate of claims per 1,000 beneficiaries. </w:t>
      </w:r>
    </w:p>
    <w:p w14:paraId="6B098B4D" w14:textId="0747F6DB" w:rsidR="00537F57" w:rsidRPr="00537F57" w:rsidRDefault="00C0671A" w:rsidP="00C0671A">
      <w:pPr>
        <w:rPr>
          <w:b/>
          <w:bCs/>
        </w:rPr>
      </w:pPr>
      <w:r w:rsidRPr="00537F57">
        <w:rPr>
          <w:b/>
          <w:bCs/>
        </w:rPr>
        <w:t xml:space="preserve">Step 0, </w:t>
      </w:r>
      <w:r w:rsidR="00537F57" w:rsidRPr="00537F57">
        <w:rPr>
          <w:b/>
          <w:bCs/>
        </w:rPr>
        <w:t>establish what we want to evaluate</w:t>
      </w:r>
      <w:r w:rsidR="00841B0A">
        <w:rPr>
          <w:b/>
          <w:bCs/>
        </w:rPr>
        <w:t>.</w:t>
      </w:r>
    </w:p>
    <w:p w14:paraId="0FF65B95" w14:textId="77777777" w:rsidR="00841B0A" w:rsidRDefault="00537F57" w:rsidP="004F1645">
      <w:r>
        <w:t>Before any analysis is conducted</w:t>
      </w:r>
      <w:r w:rsidR="004F1645">
        <w:t>, let’s look at our rural and non-rural distribution of antibiotic claim rate</w:t>
      </w:r>
      <w:r>
        <w:t xml:space="preserve"> among providers submitting more than 10 antibiotic prescription claims each year from 2018 to 2023</w:t>
      </w:r>
      <w:r w:rsidR="004F1645">
        <w:t>:</w:t>
      </w:r>
      <w:r w:rsidR="00841B0A">
        <w:t xml:space="preserve"> </w:t>
      </w:r>
    </w:p>
    <w:p w14:paraId="04C3D705" w14:textId="77777777" w:rsidR="00841B0A" w:rsidRDefault="004F1645" w:rsidP="004F1645">
      <w:pPr>
        <w:rPr>
          <w:rFonts w:ascii="Albany AMT" w:hAnsi="Albany AMT" w:cs="Albany AMT"/>
          <w:noProof/>
          <w:color w:val="000000"/>
          <w:sz w:val="16"/>
          <w:szCs w:val="16"/>
        </w:rPr>
      </w:pPr>
      <w:r>
        <w:t>Fig 1.</w:t>
      </w:r>
      <w:r w:rsidR="00B312F2" w:rsidRPr="00B312F2">
        <w:rPr>
          <w:rFonts w:ascii="Albany AMT" w:hAnsi="Albany AMT" w:cs="Albany AMT"/>
          <w:noProof/>
          <w:color w:val="000000"/>
          <w:sz w:val="16"/>
          <w:szCs w:val="16"/>
        </w:rPr>
        <w:t xml:space="preserve"> </w:t>
      </w:r>
    </w:p>
    <w:p w14:paraId="24851FFF" w14:textId="3AA27088" w:rsidR="004F1645" w:rsidRDefault="00537F57" w:rsidP="00841B0A">
      <w:pPr>
        <w:jc w:val="center"/>
      </w:pPr>
      <w:r>
        <w:rPr>
          <w:rFonts w:ascii="Albany AMT" w:hAnsi="Albany AMT" w:cs="Albany AMT"/>
          <w:noProof/>
          <w:color w:val="000000"/>
          <w:sz w:val="16"/>
          <w:szCs w:val="16"/>
        </w:rPr>
        <w:drawing>
          <wp:inline distT="0" distB="0" distL="0" distR="0" wp14:anchorId="3A74F508" wp14:editId="63D92698">
            <wp:extent cx="5943600" cy="4457700"/>
            <wp:effectExtent l="0" t="0" r="0" b="0"/>
            <wp:docPr id="303796067" name="Picture 3" descr="The SGPlot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GPlot Proced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138ECF6" w14:textId="66E934A5" w:rsidR="00B312F2" w:rsidRPr="00537F57" w:rsidRDefault="004F1645">
      <w:r>
        <w:lastRenderedPageBreak/>
        <w:t>Visually, we can see a higher mean and median in rural provider antibiotic claim rate. Does this matter? Is it significant? How do we determine if this is influenced by specialty type?</w:t>
      </w:r>
    </w:p>
    <w:p w14:paraId="10DCDC25" w14:textId="77777777" w:rsidR="00841B0A" w:rsidRDefault="00841B0A">
      <w:pPr>
        <w:rPr>
          <w:b/>
          <w:bCs/>
        </w:rPr>
      </w:pPr>
    </w:p>
    <w:p w14:paraId="16FC6FC8" w14:textId="3C4A7E52" w:rsidR="004F1645" w:rsidRPr="00BC0E30" w:rsidRDefault="004F1645">
      <w:pPr>
        <w:rPr>
          <w:b/>
          <w:bCs/>
        </w:rPr>
      </w:pPr>
      <w:r w:rsidRPr="00BC0E30">
        <w:rPr>
          <w:b/>
          <w:bCs/>
        </w:rPr>
        <w:t xml:space="preserve">Step 1, determine significance. </w:t>
      </w:r>
    </w:p>
    <w:p w14:paraId="166064F8" w14:textId="77777777" w:rsidR="00841B0A" w:rsidRDefault="004F1645">
      <w:pPr>
        <w:rPr>
          <w:rFonts w:ascii="Albany AMT" w:hAnsi="Albany AMT" w:cs="Albany AMT"/>
          <w:noProof/>
          <w:color w:val="000000"/>
          <w:sz w:val="16"/>
          <w:szCs w:val="16"/>
        </w:rPr>
      </w:pPr>
      <w:r>
        <w:t>Fig 2.</w:t>
      </w:r>
      <w:r w:rsidR="00B312F2" w:rsidRPr="00B312F2">
        <w:rPr>
          <w:rFonts w:ascii="Albany AMT" w:hAnsi="Albany AMT" w:cs="Albany AMT"/>
          <w:noProof/>
          <w:color w:val="000000"/>
          <w:sz w:val="16"/>
          <w:szCs w:val="16"/>
        </w:rPr>
        <w:t xml:space="preserve"> </w:t>
      </w:r>
    </w:p>
    <w:p w14:paraId="4A429620" w14:textId="75005E8C" w:rsidR="004F1645" w:rsidRDefault="00653932" w:rsidP="00841B0A">
      <w:pPr>
        <w:jc w:val="center"/>
      </w:pPr>
      <w:r>
        <w:rPr>
          <w:rFonts w:ascii="Albany AMT" w:hAnsi="Albany AMT" w:cs="Albany AMT"/>
          <w:noProof/>
          <w:color w:val="000000"/>
          <w:sz w:val="16"/>
          <w:szCs w:val="16"/>
        </w:rPr>
        <mc:AlternateContent>
          <mc:Choice Requires="wps">
            <w:drawing>
              <wp:anchor distT="0" distB="0" distL="114300" distR="114300" simplePos="0" relativeHeight="251661312" behindDoc="0" locked="0" layoutInCell="1" allowOverlap="1" wp14:anchorId="22EEF2C1" wp14:editId="221BF5C8">
                <wp:simplePos x="0" y="0"/>
                <wp:positionH relativeFrom="column">
                  <wp:posOffset>5524500</wp:posOffset>
                </wp:positionH>
                <wp:positionV relativeFrom="paragraph">
                  <wp:posOffset>3611245</wp:posOffset>
                </wp:positionV>
                <wp:extent cx="847725" cy="409575"/>
                <wp:effectExtent l="19050" t="19050" r="28575" b="28575"/>
                <wp:wrapNone/>
                <wp:docPr id="1471943662" name="Rectangle 8"/>
                <wp:cNvGraphicFramePr/>
                <a:graphic xmlns:a="http://schemas.openxmlformats.org/drawingml/2006/main">
                  <a:graphicData uri="http://schemas.microsoft.com/office/word/2010/wordprocessingShape">
                    <wps:wsp>
                      <wps:cNvSpPr/>
                      <wps:spPr>
                        <a:xfrm>
                          <a:off x="0" y="0"/>
                          <a:ext cx="847725" cy="4095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1975F2" id="Rectangle 8" o:spid="_x0000_s1026" style="position:absolute;margin-left:435pt;margin-top:284.35pt;width:66.75pt;height:3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" filled="f" strokecolor="#e00" strokeweight="2.25pt"/>
            </w:pict>
          </mc:Fallback>
        </mc:AlternateContent>
      </w:r>
      <w:r w:rsidR="007746F5" w:rsidRPr="007746F5">
        <w:t xml:space="preserve"> </w:t>
      </w:r>
      <w:r w:rsidR="007746F5">
        <w:rPr>
          <w:noProof/>
        </w:rPr>
        <w:drawing>
          <wp:inline distT="0" distB="0" distL="0" distR="0" wp14:anchorId="39B5188F" wp14:editId="33418E64">
            <wp:extent cx="6096000" cy="4572000"/>
            <wp:effectExtent l="0" t="0" r="0" b="0"/>
            <wp:docPr id="1070669213" name="Picture 11" descr="Box Plot of Van der Waerden Scores for rate Classified by density_b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ox Plot of Van der Waerden Scores for rate Classified by density_bina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tbl>
      <w:tblPr>
        <w:tblW w:w="4661" w:type="dxa"/>
        <w:jc w:val="center"/>
        <w:tblCellSpacing w:w="0" w:type="dxa"/>
        <w:shd w:val="clear" w:color="auto" w:fill="FFFFFF"/>
        <w:tblCellMar>
          <w:top w:w="42" w:type="dxa"/>
          <w:left w:w="42" w:type="dxa"/>
          <w:bottom w:w="42" w:type="dxa"/>
          <w:right w:w="42" w:type="dxa"/>
        </w:tblCellMar>
        <w:tblLook w:val="04A0" w:firstRow="1" w:lastRow="0" w:firstColumn="1" w:lastColumn="0" w:noHBand="0" w:noVBand="1"/>
        <w:tblDescription w:val="Procedure Npar1way: Data Scores One-Way Analysis"/>
      </w:tblPr>
      <w:tblGrid>
        <w:gridCol w:w="2117"/>
        <w:gridCol w:w="614"/>
        <w:gridCol w:w="1930"/>
      </w:tblGrid>
      <w:tr w:rsidR="006E251C" w:rsidRPr="009B2C6B" w14:paraId="4BA551E4" w14:textId="77777777" w:rsidTr="006E251C">
        <w:trPr>
          <w:trHeight w:val="201"/>
          <w:tblHeader/>
          <w:tblCellSpacing w:w="0" w:type="dxa"/>
          <w:jc w:val="center"/>
        </w:trPr>
        <w:tc>
          <w:tcPr>
            <w:tcW w:w="0" w:type="auto"/>
            <w:gridSpan w:val="3"/>
            <w:shd w:val="clear" w:color="auto" w:fill="FFFFFF"/>
          </w:tcPr>
          <w:p w14:paraId="45904B4B" w14:textId="7C10440C" w:rsidR="006E251C" w:rsidRPr="006E251C" w:rsidRDefault="006E251C" w:rsidP="006E251C">
            <w:pPr>
              <w:rPr>
                <w:b/>
                <w:bCs/>
                <w:sz w:val="16"/>
                <w:szCs w:val="16"/>
              </w:rPr>
            </w:pPr>
            <w:r>
              <w:rPr>
                <w:b/>
                <w:bCs/>
                <w:sz w:val="16"/>
                <w:szCs w:val="16"/>
              </w:rPr>
              <w:t>Table 1. Rank sum one-way chi sq. and significance</w:t>
            </w:r>
          </w:p>
        </w:tc>
      </w:tr>
      <w:tr w:rsidR="009B2C6B" w:rsidRPr="009B2C6B" w14:paraId="67FEF3B9" w14:textId="77777777" w:rsidTr="009B2C6B">
        <w:trPr>
          <w:trHeight w:val="311"/>
          <w:tblHeader/>
          <w:tblCellSpacing w:w="0" w:type="dxa"/>
          <w:jc w:val="center"/>
        </w:trPr>
        <w:tc>
          <w:tcPr>
            <w:tcW w:w="0" w:type="auto"/>
            <w:gridSpan w:val="3"/>
            <w:shd w:val="clear" w:color="auto" w:fill="FFFFFF"/>
            <w:hideMark/>
          </w:tcPr>
          <w:p w14:paraId="56251762" w14:textId="77777777" w:rsidR="009B2C6B" w:rsidRPr="009B2C6B" w:rsidRDefault="009B2C6B" w:rsidP="009B2C6B">
            <w:pPr>
              <w:jc w:val="center"/>
              <w:rPr>
                <w:b/>
                <w:bCs/>
              </w:rPr>
            </w:pPr>
            <w:r w:rsidRPr="009B2C6B">
              <w:rPr>
                <w:b/>
                <w:bCs/>
              </w:rPr>
              <w:t>Data Scores One-Way Analysis</w:t>
            </w:r>
          </w:p>
        </w:tc>
      </w:tr>
      <w:tr w:rsidR="006E251C" w:rsidRPr="009B2C6B" w14:paraId="3C21E53A" w14:textId="77777777" w:rsidTr="009B2C6B">
        <w:trPr>
          <w:trHeight w:val="316"/>
          <w:tblHeader/>
          <w:tblCellSpacing w:w="0" w:type="dxa"/>
          <w:jc w:val="center"/>
        </w:trPr>
        <w:tc>
          <w:tcPr>
            <w:tcW w:w="0" w:type="auto"/>
            <w:tcBorders>
              <w:top w:val="single" w:sz="8" w:space="0" w:color="000000" w:themeColor="text1"/>
              <w:bottom w:val="single" w:sz="8" w:space="0" w:color="000000" w:themeColor="text1"/>
            </w:tcBorders>
            <w:shd w:val="clear" w:color="auto" w:fill="FFFFFF"/>
            <w:hideMark/>
          </w:tcPr>
          <w:p w14:paraId="3AD8FA57" w14:textId="77777777" w:rsidR="009B2C6B" w:rsidRPr="009B2C6B" w:rsidRDefault="009B2C6B" w:rsidP="009B2C6B">
            <w:pPr>
              <w:jc w:val="center"/>
              <w:rPr>
                <w:b/>
                <w:bCs/>
              </w:rPr>
            </w:pPr>
            <w:r w:rsidRPr="009B2C6B">
              <w:rPr>
                <w:b/>
                <w:bCs/>
              </w:rPr>
              <w:t>Chi-Square</w:t>
            </w:r>
          </w:p>
        </w:tc>
        <w:tc>
          <w:tcPr>
            <w:tcW w:w="0" w:type="auto"/>
            <w:tcBorders>
              <w:top w:val="single" w:sz="8" w:space="0" w:color="000000" w:themeColor="text1"/>
              <w:bottom w:val="single" w:sz="8" w:space="0" w:color="000000" w:themeColor="text1"/>
            </w:tcBorders>
            <w:shd w:val="clear" w:color="auto" w:fill="FFFFFF"/>
            <w:hideMark/>
          </w:tcPr>
          <w:p w14:paraId="3108B84B" w14:textId="77777777" w:rsidR="009B2C6B" w:rsidRPr="009B2C6B" w:rsidRDefault="009B2C6B" w:rsidP="009B2C6B">
            <w:pPr>
              <w:jc w:val="center"/>
              <w:rPr>
                <w:b/>
                <w:bCs/>
              </w:rPr>
            </w:pPr>
            <w:r w:rsidRPr="009B2C6B">
              <w:rPr>
                <w:b/>
                <w:bCs/>
              </w:rPr>
              <w:t>DF</w:t>
            </w:r>
          </w:p>
        </w:tc>
        <w:tc>
          <w:tcPr>
            <w:tcW w:w="0" w:type="auto"/>
            <w:tcBorders>
              <w:top w:val="single" w:sz="8" w:space="0" w:color="000000" w:themeColor="text1"/>
              <w:bottom w:val="single" w:sz="8" w:space="0" w:color="000000" w:themeColor="text1"/>
            </w:tcBorders>
            <w:shd w:val="clear" w:color="auto" w:fill="FFFFFF"/>
            <w:hideMark/>
          </w:tcPr>
          <w:p w14:paraId="3692E32C" w14:textId="77777777" w:rsidR="009B2C6B" w:rsidRPr="009B2C6B" w:rsidRDefault="009B2C6B" w:rsidP="009B2C6B">
            <w:pPr>
              <w:jc w:val="center"/>
              <w:rPr>
                <w:b/>
                <w:bCs/>
              </w:rPr>
            </w:pPr>
            <w:proofErr w:type="spellStart"/>
            <w:r w:rsidRPr="009B2C6B">
              <w:rPr>
                <w:b/>
                <w:bCs/>
              </w:rPr>
              <w:t>Pr</w:t>
            </w:r>
            <w:proofErr w:type="spellEnd"/>
            <w:r w:rsidRPr="009B2C6B">
              <w:rPr>
                <w:b/>
                <w:bCs/>
              </w:rPr>
              <w:t> &gt; </w:t>
            </w:r>
            <w:proofErr w:type="spellStart"/>
            <w:r w:rsidRPr="009B2C6B">
              <w:rPr>
                <w:b/>
                <w:bCs/>
              </w:rPr>
              <w:t>ChiSq</w:t>
            </w:r>
            <w:proofErr w:type="spellEnd"/>
          </w:p>
        </w:tc>
      </w:tr>
      <w:tr w:rsidR="006E251C" w:rsidRPr="009B2C6B" w14:paraId="6A6AC61E" w14:textId="77777777" w:rsidTr="009B2C6B">
        <w:trPr>
          <w:trHeight w:val="311"/>
          <w:tblCellSpacing w:w="0" w:type="dxa"/>
          <w:jc w:val="center"/>
        </w:trPr>
        <w:tc>
          <w:tcPr>
            <w:tcW w:w="0" w:type="auto"/>
            <w:shd w:val="clear" w:color="auto" w:fill="FFFFFF"/>
            <w:hideMark/>
          </w:tcPr>
          <w:p w14:paraId="7B63BE87" w14:textId="77777777" w:rsidR="009B2C6B" w:rsidRPr="009B2C6B" w:rsidRDefault="009B2C6B" w:rsidP="009B2C6B">
            <w:pPr>
              <w:jc w:val="center"/>
            </w:pPr>
            <w:r w:rsidRPr="009B2C6B">
              <w:t>36.8201</w:t>
            </w:r>
          </w:p>
        </w:tc>
        <w:tc>
          <w:tcPr>
            <w:tcW w:w="0" w:type="auto"/>
            <w:shd w:val="clear" w:color="auto" w:fill="FFFFFF"/>
            <w:hideMark/>
          </w:tcPr>
          <w:p w14:paraId="3C9146CA" w14:textId="77777777" w:rsidR="009B2C6B" w:rsidRPr="009B2C6B" w:rsidRDefault="009B2C6B" w:rsidP="009B2C6B">
            <w:pPr>
              <w:jc w:val="center"/>
            </w:pPr>
            <w:r w:rsidRPr="009B2C6B">
              <w:t>1</w:t>
            </w:r>
          </w:p>
        </w:tc>
        <w:tc>
          <w:tcPr>
            <w:tcW w:w="0" w:type="auto"/>
            <w:shd w:val="clear" w:color="auto" w:fill="FFFFFF"/>
            <w:hideMark/>
          </w:tcPr>
          <w:p w14:paraId="2C559611" w14:textId="77777777" w:rsidR="009B2C6B" w:rsidRPr="009B2C6B" w:rsidRDefault="009B2C6B" w:rsidP="009B2C6B">
            <w:pPr>
              <w:jc w:val="center"/>
            </w:pPr>
            <w:r w:rsidRPr="002406DF">
              <w:rPr>
                <w:highlight w:val="yellow"/>
              </w:rPr>
              <w:t>&lt;.0001</w:t>
            </w:r>
          </w:p>
        </w:tc>
      </w:tr>
    </w:tbl>
    <w:p w14:paraId="7E97BB85" w14:textId="29EB70FB" w:rsidR="004F1645" w:rsidRDefault="004F1645" w:rsidP="004F1645"/>
    <w:p w14:paraId="1F555FF1" w14:textId="1F0C2476" w:rsidR="006F6DD9" w:rsidRDefault="00841B0A" w:rsidP="00015306">
      <w:pPr>
        <w:ind w:firstLine="720"/>
      </w:pPr>
      <w:r>
        <w:t xml:space="preserve">Do we even have a relationship? </w:t>
      </w:r>
      <w:r w:rsidR="007746F5">
        <w:t>The</w:t>
      </w:r>
      <w:r w:rsidR="004F1645">
        <w:t xml:space="preserve"> traditional way to evaluate the differences in prescribers by cohort</w:t>
      </w:r>
      <w:r w:rsidR="004F1645" w:rsidRPr="00A5532B">
        <w:t xml:space="preserve"> </w:t>
      </w:r>
      <w:r w:rsidR="004F1645">
        <w:t>is a rank sum test like the Wilcoxon (Mann-Whitley</w:t>
      </w:r>
      <w:r w:rsidR="008B4FC2">
        <w:t xml:space="preserve">; two comparisons </w:t>
      </w:r>
      <w:r w:rsidR="008B4FC2" w:rsidRPr="008B4FC2">
        <w:rPr>
          <w:i/>
          <w:iCs/>
        </w:rPr>
        <w:t>not</w:t>
      </w:r>
      <w:r w:rsidR="008B4FC2">
        <w:t xml:space="preserve"> Kruskal-Wallis for more granular 3+ population density groups blah blah blah statistics that I maybe understand</w:t>
      </w:r>
      <w:r w:rsidR="004F1645">
        <w:t xml:space="preserve">) test. In our case, rural versus non-rural are our cohorts. Building off figure 1, we can compare </w:t>
      </w:r>
      <w:r w:rsidR="002406DF">
        <w:t xml:space="preserve">, ranks, </w:t>
      </w:r>
      <w:r w:rsidR="004F1645">
        <w:t xml:space="preserve">and “score” the </w:t>
      </w:r>
      <w:r w:rsidR="004F1645">
        <w:lastRenderedPageBreak/>
        <w:t xml:space="preserve">median rate of prescribing among both groups. If those medians are different, we can say the median prescribing rate of rural providers is higher than the median prescribing rate of non-rural providers. In our example we use the Wilcoxon rank sum test, which measures the median values of each group and </w:t>
      </w:r>
      <w:r w:rsidR="00BC0E30">
        <w:t>compares</w:t>
      </w:r>
      <w:r w:rsidR="004F1645">
        <w:t xml:space="preserve"> them against each other</w:t>
      </w:r>
      <w:r w:rsidR="00BC0E30">
        <w:t xml:space="preserve"> in a one and two-sided test</w:t>
      </w:r>
      <w:r w:rsidR="004F1645">
        <w:t xml:space="preserve">. In this case, we confirm what we saw in </w:t>
      </w:r>
      <w:r w:rsidR="00BC0E30">
        <w:t>Fig 1</w:t>
      </w:r>
      <w:r w:rsidR="004F1645">
        <w:t>, the median (50</w:t>
      </w:r>
      <w:r w:rsidR="004F1645" w:rsidRPr="00692A47">
        <w:rPr>
          <w:vertAlign w:val="superscript"/>
        </w:rPr>
        <w:t>th</w:t>
      </w:r>
      <w:r w:rsidR="004F1645">
        <w:t xml:space="preserve"> percentile) of prescribers in rural areas have a higher median antibiotic claims rate as compared to their non-rural counterparts </w:t>
      </w:r>
      <w:r w:rsidR="004F1645">
        <w:rPr>
          <w:i/>
          <w:iCs/>
        </w:rPr>
        <w:t xml:space="preserve">AND </w:t>
      </w:r>
      <w:r w:rsidR="004F1645">
        <w:t>that difference is statistically significant (p&lt;.0001). We can visualize this in a box and whisker plot</w:t>
      </w:r>
      <w:r w:rsidR="00BC0E30">
        <w:t xml:space="preserve"> displaying Van der </w:t>
      </w:r>
      <w:proofErr w:type="spellStart"/>
      <w:r w:rsidR="00BC0E30">
        <w:t>Waerden</w:t>
      </w:r>
      <w:proofErr w:type="spellEnd"/>
      <w:r w:rsidR="00BC0E30">
        <w:t xml:space="preserve"> Scores</w:t>
      </w:r>
      <w:r w:rsidR="004F1645">
        <w:t xml:space="preserve"> (Fig 2).</w:t>
      </w:r>
      <w:r w:rsidR="006F6DD9">
        <w:t xml:space="preserve"> Don’t worry about understanding scoring, we simply use that as a test of significance </w:t>
      </w:r>
      <w:r w:rsidR="00653932">
        <w:t>in this instance (red box</w:t>
      </w:r>
      <w:r w:rsidR="006E251C">
        <w:t xml:space="preserve"> and table 1.</w:t>
      </w:r>
      <w:r w:rsidR="00653932">
        <w:t>)</w:t>
      </w:r>
      <w:r w:rsidR="006F6DD9">
        <w:t xml:space="preserve">. </w:t>
      </w:r>
    </w:p>
    <w:p w14:paraId="71468D2A" w14:textId="69595920" w:rsidR="00841B0A" w:rsidRDefault="004F1645" w:rsidP="00653932">
      <w:pPr>
        <w:ind w:firstLine="720"/>
      </w:pPr>
      <w:r>
        <w:t xml:space="preserve">However, </w:t>
      </w:r>
      <w:r w:rsidR="006F6DD9">
        <w:t>now we</w:t>
      </w:r>
      <w:r>
        <w:t xml:space="preserve"> run into a problem. Some specialties prescribe more. Could specialty </w:t>
      </w:r>
      <w:r w:rsidR="002406DF">
        <w:t>differences</w:t>
      </w:r>
      <w:r>
        <w:t xml:space="preserve"> drive differences in antibiotic claims trends</w:t>
      </w:r>
      <w:r w:rsidR="006F6DD9">
        <w:t xml:space="preserve"> by population density</w:t>
      </w:r>
      <w:r>
        <w:t>? Look how much higher dentistry</w:t>
      </w:r>
      <w:r w:rsidR="006F6DD9">
        <w:t xml:space="preserve"> claim rate</w:t>
      </w:r>
      <w:r>
        <w:t xml:space="preserve"> is when compared to other specialties</w:t>
      </w:r>
      <w:r w:rsidR="006F6DD9">
        <w:t>.</w:t>
      </w:r>
      <w:r w:rsidR="006F6DD9" w:rsidRPr="006F6DD9">
        <w:t xml:space="preserve"> </w:t>
      </w:r>
      <w:r w:rsidR="006F6DD9">
        <w:t xml:space="preserve">Same with urologists, their mean and median prescribing rates are higher than others. How can we assess claims </w:t>
      </w:r>
      <w:r w:rsidR="006F6DD9">
        <w:rPr>
          <w:i/>
          <w:iCs/>
        </w:rPr>
        <w:t>AND</w:t>
      </w:r>
      <w:r w:rsidR="006F6DD9">
        <w:t xml:space="preserve"> account for specialty type?</w:t>
      </w:r>
    </w:p>
    <w:p w14:paraId="3A3763B8" w14:textId="79F96FE5" w:rsidR="00841B0A" w:rsidRDefault="00BC0E30" w:rsidP="00BC0E30">
      <w:r>
        <w:t>Fig 3.</w:t>
      </w:r>
    </w:p>
    <w:p w14:paraId="089CF443" w14:textId="159EB1D2" w:rsidR="00BC0E30" w:rsidRDefault="00841B0A" w:rsidP="00841B0A">
      <w:pPr>
        <w:jc w:val="center"/>
      </w:pPr>
      <w:r>
        <w:rPr>
          <w:rFonts w:ascii="Albany AMT" w:hAnsi="Albany AMT" w:cs="Albany AMT"/>
          <w:noProof/>
          <w:color w:val="000000"/>
          <w:sz w:val="16"/>
          <w:szCs w:val="16"/>
        </w:rPr>
        <w:drawing>
          <wp:inline distT="0" distB="0" distL="0" distR="0" wp14:anchorId="45C33CC0" wp14:editId="7BEC09A0">
            <wp:extent cx="5943600" cy="4457700"/>
            <wp:effectExtent l="0" t="0" r="0" b="0"/>
            <wp:docPr id="65205052" name="Picture 4" descr="The SGPlot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GPlot Proced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26338E6" w14:textId="77777777" w:rsidR="00841B0A" w:rsidRDefault="00841B0A"/>
    <w:p w14:paraId="4E907FD0" w14:textId="77777777" w:rsidR="00841B0A" w:rsidRDefault="00841B0A"/>
    <w:p w14:paraId="1855D47A" w14:textId="77777777" w:rsidR="00841B0A" w:rsidRDefault="00841B0A"/>
    <w:p w14:paraId="5AA6DD2F" w14:textId="7D5A9C65" w:rsidR="00BC0E30" w:rsidRPr="00841B0A" w:rsidRDefault="00BC0E30">
      <w:r w:rsidRPr="00BC0E30">
        <w:rPr>
          <w:rFonts w:ascii="Aptos" w:hAnsi="Aptos" w:cs="Albany AMT"/>
          <w:b/>
          <w:bCs/>
          <w:noProof/>
          <w:color w:val="000000"/>
        </w:rPr>
        <w:lastRenderedPageBreak/>
        <w:t>Step 2</w:t>
      </w:r>
      <w:r w:rsidR="00B312F2">
        <w:rPr>
          <w:rFonts w:ascii="Aptos" w:hAnsi="Aptos" w:cs="Albany AMT"/>
          <w:b/>
          <w:bCs/>
          <w:noProof/>
          <w:color w:val="000000"/>
        </w:rPr>
        <w:t>,</w:t>
      </w:r>
      <w:r w:rsidRPr="00BC0E30">
        <w:rPr>
          <w:rFonts w:ascii="Aptos" w:hAnsi="Aptos" w:cs="Albany AMT"/>
          <w:b/>
          <w:bCs/>
          <w:noProof/>
          <w:color w:val="000000"/>
        </w:rPr>
        <w:t xml:space="preserve"> </w:t>
      </w:r>
      <w:r w:rsidR="00B312F2">
        <w:rPr>
          <w:rFonts w:ascii="Aptos" w:hAnsi="Aptos" w:cs="Albany AMT"/>
          <w:b/>
          <w:bCs/>
          <w:noProof/>
          <w:color w:val="000000"/>
        </w:rPr>
        <w:t>g</w:t>
      </w:r>
      <w:r w:rsidRPr="00BC0E30">
        <w:rPr>
          <w:rFonts w:ascii="Aptos" w:hAnsi="Aptos" w:cs="Albany AMT"/>
          <w:b/>
          <w:bCs/>
          <w:noProof/>
          <w:color w:val="000000"/>
        </w:rPr>
        <w:t>et more granular</w:t>
      </w:r>
      <w:r w:rsidR="00B312F2">
        <w:rPr>
          <w:rFonts w:ascii="Aptos" w:hAnsi="Aptos" w:cs="Albany AMT"/>
          <w:b/>
          <w:bCs/>
          <w:noProof/>
          <w:color w:val="000000"/>
        </w:rPr>
        <w:t>.</w:t>
      </w:r>
    </w:p>
    <w:p w14:paraId="291315DD" w14:textId="633910E5" w:rsidR="00841B0A" w:rsidRDefault="00692A47">
      <w:r w:rsidRPr="002406DF">
        <w:rPr>
          <w:b/>
          <w:bCs/>
          <w:sz w:val="20"/>
          <w:szCs w:val="20"/>
        </w:rPr>
        <w:t xml:space="preserve">Fig </w:t>
      </w:r>
      <w:r w:rsidR="00C0671A" w:rsidRPr="002406DF">
        <w:rPr>
          <w:b/>
          <w:bCs/>
          <w:sz w:val="20"/>
          <w:szCs w:val="20"/>
        </w:rPr>
        <w:t>4</w:t>
      </w:r>
      <w:r w:rsidRPr="002406DF">
        <w:rPr>
          <w:b/>
          <w:bCs/>
          <w:sz w:val="20"/>
          <w:szCs w:val="20"/>
        </w:rPr>
        <w:t>.</w:t>
      </w:r>
      <w:r w:rsidR="002406DF" w:rsidRPr="002406DF">
        <w:rPr>
          <w:b/>
          <w:bCs/>
          <w:sz w:val="20"/>
          <w:szCs w:val="20"/>
        </w:rPr>
        <w:t xml:space="preserve"> Difference in antibiotic prescribing claims per 1,000 beneficiaries among rural providers compared to non-rural providers, North Carolina 2018- 2023</w:t>
      </w:r>
    </w:p>
    <w:p w14:paraId="4D5A9884" w14:textId="597BD303" w:rsidR="00692A47" w:rsidRDefault="007746F5" w:rsidP="00841B0A">
      <w:pPr>
        <w:jc w:val="center"/>
      </w:pPr>
      <w:r>
        <w:rPr>
          <w:noProof/>
        </w:rPr>
        <w:drawing>
          <wp:inline distT="0" distB="0" distL="0" distR="0" wp14:anchorId="0B1EF1C3" wp14:editId="04AF7082">
            <wp:extent cx="6096000" cy="4572000"/>
            <wp:effectExtent l="0" t="0" r="0" b="0"/>
            <wp:docPr id="1805998775" name="Picture 10" descr="Quantile Process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antile Process Plo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4EE0F18F" w14:textId="170C9C04" w:rsidR="006D3109" w:rsidRDefault="006D3109" w:rsidP="00B312F2">
      <w:pPr>
        <w:ind w:firstLine="720"/>
      </w:pPr>
      <w:r>
        <w:t>Rank sum testing used the median rate of prescribing in our example. That means we are comparing the 50</w:t>
      </w:r>
      <w:r w:rsidRPr="006D3109">
        <w:rPr>
          <w:vertAlign w:val="superscript"/>
        </w:rPr>
        <w:t>th</w:t>
      </w:r>
      <w:r>
        <w:t xml:space="preserve"> percentile of rural prescribers to the 50</w:t>
      </w:r>
      <w:r w:rsidRPr="006D3109">
        <w:rPr>
          <w:vertAlign w:val="superscript"/>
        </w:rPr>
        <w:t>th</w:t>
      </w:r>
      <w:r>
        <w:t xml:space="preserve"> percentile of urban prescribers. That’s great, it tells us a lot, but we can ask even more questions. Different levels of prescribers may prescribe at different rates. That is to </w:t>
      </w:r>
      <w:r w:rsidR="00B312F2">
        <w:t>ask questions like:</w:t>
      </w:r>
      <w:r>
        <w:t xml:space="preserve"> do </w:t>
      </w:r>
      <w:r w:rsidR="00B312F2">
        <w:t xml:space="preserve">rural </w:t>
      </w:r>
      <w:r>
        <w:t xml:space="preserve">prescribers in </w:t>
      </w:r>
      <w:r w:rsidR="00B312F2">
        <w:t xml:space="preserve">the bottom 10% of antibiotic claim submitters by rate prescribe more than their non-rural counterparts? Using quantile regression analysis helps us get more information out of our data. </w:t>
      </w:r>
    </w:p>
    <w:p w14:paraId="55C36137" w14:textId="15453C53" w:rsidR="00692A47" w:rsidRPr="00692A47" w:rsidRDefault="00B312F2" w:rsidP="00692A47">
      <w:pPr>
        <w:ind w:firstLine="720"/>
      </w:pPr>
      <w:r>
        <w:t xml:space="preserve">Figure </w:t>
      </w:r>
      <w:r w:rsidR="00C0671A">
        <w:t>4</w:t>
      </w:r>
      <w:r>
        <w:t xml:space="preserve"> shows the difference in antibiotic prescribing claim rate when comparing rural providers to urban providers by level, or quantile, of prescribing. </w:t>
      </w:r>
      <w:r w:rsidR="00692A47">
        <w:t xml:space="preserve">From prescribing </w:t>
      </w:r>
      <w:r>
        <w:t>quantiles</w:t>
      </w:r>
      <w:r w:rsidR="00692A47">
        <w:t xml:space="preserve"> 5 to 90, rural providers submit significantly more claims than their non-rural counterparts. For example, a provider in a rural area that falls in the </w:t>
      </w:r>
      <w:r>
        <w:t>10</w:t>
      </w:r>
      <w:r w:rsidRPr="00B312F2">
        <w:rPr>
          <w:vertAlign w:val="superscript"/>
        </w:rPr>
        <w:t>th</w:t>
      </w:r>
      <w:r w:rsidR="00692A47">
        <w:t xml:space="preserve"> percentile of antibiotic prescription claims among all providers</w:t>
      </w:r>
      <w:r w:rsidR="000E616C">
        <w:t xml:space="preserve"> within their rural cohort</w:t>
      </w:r>
      <w:r w:rsidR="00692A47">
        <w:t xml:space="preserve"> will </w:t>
      </w:r>
      <w:r w:rsidR="000E616C">
        <w:t xml:space="preserve">file </w:t>
      </w:r>
      <w:r w:rsidR="00692A47">
        <w:t xml:space="preserve">more antibiotic prescription </w:t>
      </w:r>
      <w:r w:rsidR="000E616C">
        <w:t xml:space="preserve">claims </w:t>
      </w:r>
      <w:r w:rsidR="00692A47">
        <w:t xml:space="preserve">than a non-rural provider in the </w:t>
      </w:r>
      <w:r>
        <w:t>10</w:t>
      </w:r>
      <w:r w:rsidRPr="00B312F2">
        <w:rPr>
          <w:vertAlign w:val="superscript"/>
        </w:rPr>
        <w:t>th</w:t>
      </w:r>
      <w:r w:rsidR="00692A47">
        <w:t xml:space="preserve"> percentile</w:t>
      </w:r>
      <w:r w:rsidR="000E616C">
        <w:t xml:space="preserve"> of their cohort</w:t>
      </w:r>
      <w:r w:rsidR="00692A47">
        <w:t>. However, at the top 5%</w:t>
      </w:r>
      <w:r w:rsidR="000E616C">
        <w:t xml:space="preserve"> of each cohort</w:t>
      </w:r>
      <w:r w:rsidR="00692A47">
        <w:t xml:space="preserve"> </w:t>
      </w:r>
      <w:r w:rsidR="000E616C">
        <w:t>the</w:t>
      </w:r>
      <w:r w:rsidR="00692A47">
        <w:t xml:space="preserve"> difference</w:t>
      </w:r>
      <w:r w:rsidR="000E616C">
        <w:t xml:space="preserve"> between rural and non-rural provider claims</w:t>
      </w:r>
      <w:r w:rsidR="00692A47">
        <w:t xml:space="preserve"> decreases and is </w:t>
      </w:r>
      <w:r w:rsidR="00692A47">
        <w:rPr>
          <w:i/>
          <w:iCs/>
        </w:rPr>
        <w:t>not</w:t>
      </w:r>
      <w:r w:rsidR="00692A47">
        <w:t xml:space="preserve"> significant. The interpretation here is that </w:t>
      </w:r>
      <w:r w:rsidR="00692A47" w:rsidRPr="00B312F2">
        <w:rPr>
          <w:i/>
          <w:iCs/>
        </w:rPr>
        <w:t>very</w:t>
      </w:r>
      <w:r w:rsidR="00692A47">
        <w:t xml:space="preserve"> high prescribers are prescribing </w:t>
      </w:r>
      <w:r w:rsidR="00692A47">
        <w:rPr>
          <w:i/>
          <w:iCs/>
        </w:rPr>
        <w:lastRenderedPageBreak/>
        <w:t>about</w:t>
      </w:r>
      <w:r w:rsidR="00692A47">
        <w:t xml:space="preserve"> the same amount regardless of where they are located. </w:t>
      </w:r>
      <w:r w:rsidR="000E616C">
        <w:t xml:space="preserve">In other words, higher rural antibiotic prescription claims are not exclusively driven by the highest prescribers. </w:t>
      </w:r>
    </w:p>
    <w:p w14:paraId="072092C4" w14:textId="7121E491" w:rsidR="00751830" w:rsidRDefault="00B312F2">
      <w:r>
        <w:tab/>
        <w:t xml:space="preserve">Looking at each </w:t>
      </w:r>
      <w:proofErr w:type="gramStart"/>
      <w:r>
        <w:t>quantile</w:t>
      </w:r>
      <w:proofErr w:type="gramEnd"/>
      <w:r>
        <w:t xml:space="preserve"> is all well and good, but it doesn’t answer our last question.</w:t>
      </w:r>
      <w:r w:rsidRPr="00B312F2">
        <w:t xml:space="preserve"> </w:t>
      </w:r>
      <w:r>
        <w:t xml:space="preserve">How do we determine if this is influenced by specialty type? We already know from figure 3 that some specialties prescribe at higher rates than others, </w:t>
      </w:r>
      <w:r w:rsidR="00841B0A">
        <w:t>let’s</w:t>
      </w:r>
      <w:r>
        <w:t xml:space="preserve"> determine if this influences our rural versus non-rural prescribing. </w:t>
      </w:r>
    </w:p>
    <w:p w14:paraId="680A4CEF" w14:textId="77777777" w:rsidR="00015306" w:rsidRPr="00692A47" w:rsidRDefault="00015306"/>
    <w:p w14:paraId="4CEA8737" w14:textId="08002AFB" w:rsidR="00751830" w:rsidRPr="00B312F2" w:rsidRDefault="00B312F2">
      <w:pPr>
        <w:rPr>
          <w:b/>
          <w:bCs/>
        </w:rPr>
      </w:pPr>
      <w:r w:rsidRPr="00B312F2">
        <w:rPr>
          <w:b/>
          <w:bCs/>
        </w:rPr>
        <w:t xml:space="preserve">Step </w:t>
      </w:r>
      <w:r w:rsidR="00BA2311">
        <w:rPr>
          <w:b/>
          <w:bCs/>
        </w:rPr>
        <w:t>3</w:t>
      </w:r>
      <w:r w:rsidRPr="00B312F2">
        <w:rPr>
          <w:b/>
          <w:bCs/>
        </w:rPr>
        <w:t>, multiple predictors.</w:t>
      </w:r>
    </w:p>
    <w:p w14:paraId="21E3D499" w14:textId="77777777" w:rsidR="00537F57" w:rsidRDefault="00751830">
      <w:r>
        <w:t xml:space="preserve">How can we assess claims </w:t>
      </w:r>
      <w:r>
        <w:rPr>
          <w:i/>
          <w:iCs/>
        </w:rPr>
        <w:t>AND</w:t>
      </w:r>
      <w:r>
        <w:t xml:space="preserve"> account for specialty type?</w:t>
      </w:r>
      <w:r w:rsidR="00C0671A" w:rsidRPr="00C0671A">
        <w:t xml:space="preserve"> </w:t>
      </w:r>
      <w:r w:rsidR="00C0671A">
        <w:t>Rank sum tests like the Wilcoxon are great for looking at a single predictor: population density, high-volume prescriber, or specialty type. However, rank sum tests are limited when explaining different independent variables. To overcome the limitations of rank sum we can utilize the quantile regression model seen in figure 4 while adding specialty as an additional predictor.</w:t>
      </w:r>
    </w:p>
    <w:p w14:paraId="49AA9081" w14:textId="61DAE971" w:rsidR="00841B0A" w:rsidRPr="002406DF" w:rsidRDefault="00751830">
      <w:pPr>
        <w:rPr>
          <w:b/>
          <w:bCs/>
          <w:sz w:val="20"/>
          <w:szCs w:val="20"/>
        </w:rPr>
      </w:pPr>
      <w:r w:rsidRPr="002406DF">
        <w:rPr>
          <w:b/>
          <w:bCs/>
          <w:sz w:val="20"/>
          <w:szCs w:val="20"/>
        </w:rPr>
        <w:t xml:space="preserve">Fig </w:t>
      </w:r>
      <w:r w:rsidR="00841B0A" w:rsidRPr="002406DF">
        <w:rPr>
          <w:b/>
          <w:bCs/>
          <w:sz w:val="20"/>
          <w:szCs w:val="20"/>
        </w:rPr>
        <w:t>5</w:t>
      </w:r>
      <w:r w:rsidRPr="002406DF">
        <w:rPr>
          <w:b/>
          <w:bCs/>
          <w:sz w:val="20"/>
          <w:szCs w:val="20"/>
        </w:rPr>
        <w:t>.</w:t>
      </w:r>
      <w:r w:rsidR="002406DF" w:rsidRPr="002406DF">
        <w:rPr>
          <w:b/>
          <w:bCs/>
          <w:sz w:val="20"/>
          <w:szCs w:val="20"/>
        </w:rPr>
        <w:t xml:space="preserve"> Difference in antibiotic prescribing claims per 1,000 beneficiaries among rural providers compared to non-rural providers accounting for specialty type, North Carolina 2018- 2023</w:t>
      </w:r>
    </w:p>
    <w:p w14:paraId="6F671804" w14:textId="76601EAE" w:rsidR="00C0671A" w:rsidRDefault="007746F5" w:rsidP="00841B0A">
      <w:pPr>
        <w:jc w:val="center"/>
      </w:pPr>
      <w:r>
        <w:rPr>
          <w:rFonts w:ascii="Albany AMT" w:hAnsi="Albany AMT" w:cs="Albany AMT"/>
          <w:noProof/>
          <w:color w:val="000000"/>
          <w:sz w:val="16"/>
          <w:szCs w:val="16"/>
        </w:rPr>
        <mc:AlternateContent>
          <mc:Choice Requires="wpg">
            <w:drawing>
              <wp:anchor distT="0" distB="0" distL="114300" distR="114300" simplePos="0" relativeHeight="251660288" behindDoc="0" locked="0" layoutInCell="1" allowOverlap="1" wp14:anchorId="24AF51B6" wp14:editId="1611FDEF">
                <wp:simplePos x="0" y="0"/>
                <wp:positionH relativeFrom="column">
                  <wp:posOffset>5334000</wp:posOffset>
                </wp:positionH>
                <wp:positionV relativeFrom="paragraph">
                  <wp:posOffset>10795</wp:posOffset>
                </wp:positionV>
                <wp:extent cx="923925" cy="771525"/>
                <wp:effectExtent l="0" t="0" r="28575" b="28575"/>
                <wp:wrapNone/>
                <wp:docPr id="1815473845" name="Group 7"/>
                <wp:cNvGraphicFramePr/>
                <a:graphic xmlns:a="http://schemas.openxmlformats.org/drawingml/2006/main">
                  <a:graphicData uri="http://schemas.microsoft.com/office/word/2010/wordprocessingGroup">
                    <wpg:wgp>
                      <wpg:cNvGrpSpPr/>
                      <wpg:grpSpPr>
                        <a:xfrm>
                          <a:off x="0" y="0"/>
                          <a:ext cx="923925" cy="771525"/>
                          <a:chOff x="0" y="0"/>
                          <a:chExt cx="923925" cy="771525"/>
                        </a:xfrm>
                      </wpg:grpSpPr>
                      <wps:wsp>
                        <wps:cNvPr id="104056195" name="Left Brace 5"/>
                        <wps:cNvSpPr/>
                        <wps:spPr>
                          <a:xfrm rot="5400000">
                            <a:off x="219075" y="209550"/>
                            <a:ext cx="438150" cy="685800"/>
                          </a:xfrm>
                          <a:prstGeom prst="leftBrace">
                            <a:avLst>
                              <a:gd name="adj1" fmla="val 8333"/>
                              <a:gd name="adj2" fmla="val 48611"/>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2084673" name="Text Box 6"/>
                        <wps:cNvSpPr txBox="1"/>
                        <wps:spPr>
                          <a:xfrm>
                            <a:off x="0" y="0"/>
                            <a:ext cx="923925" cy="295275"/>
                          </a:xfrm>
                          <a:prstGeom prst="rect">
                            <a:avLst/>
                          </a:prstGeom>
                          <a:solidFill>
                            <a:schemeClr val="lt1"/>
                          </a:solidFill>
                          <a:ln w="6350">
                            <a:solidFill>
                              <a:schemeClr val="bg1"/>
                            </a:solidFill>
                          </a:ln>
                        </wps:spPr>
                        <wps:txbx>
                          <w:txbxContent>
                            <w:p w14:paraId="7D785373" w14:textId="6C205D9D" w:rsidR="006F6DD9" w:rsidRPr="006F6DD9" w:rsidRDefault="006F6DD9">
                              <w:pPr>
                                <w:rPr>
                                  <w:color w:val="EE0000"/>
                                </w:rPr>
                              </w:pPr>
                              <w:r w:rsidRPr="006F6DD9">
                                <w:rPr>
                                  <w:color w:val="EE0000"/>
                                </w:rPr>
                                <w:t>“High tail”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4AF51B6" id="Group 7" o:spid="_x0000_s1026" style="position:absolute;left:0;text-align:left;margin-left:420pt;margin-top:.85pt;width:72.75pt;height:60.75pt;z-index:251660288" coordsize="9239,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 o:spid="_x0000_s1027" type="#_x0000_t87" style="position:absolute;left:2190;top:2095;width:4382;height:685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" adj="1150,10500" strokecolor="#e00" strokeweight="1.5pt">
                  <v:stroke joinstyle="miter"/>
                </v:shape>
                <v:shapetype id="_x0000_t202" coordsize="21600,21600" o:spt="202" path="m,l,21600r21600,l21600,xe">
                  <v:stroke joinstyle="miter"/>
                  <v:path gradientshapeok="t" o:connecttype="rect"/>
                </v:shapetype>
                <v:shape id="Text Box 6" o:spid="_x0000_s1028" type="#_x0000_t202" style="position:absolute;width:9239;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" fillcolor="white [3201]" strokecolor="white [3212]" strokeweight=".5pt">
                  <v:textbox>
                    <w:txbxContent>
                      <w:p w14:paraId="7D785373" w14:textId="6C205D9D" w:rsidR="006F6DD9" w:rsidRPr="006F6DD9" w:rsidRDefault="006F6DD9">
                        <w:pPr>
                          <w:rPr>
                            <w:color w:val="EE0000"/>
                          </w:rPr>
                        </w:pPr>
                        <w:r w:rsidRPr="006F6DD9">
                          <w:rPr>
                            <w:color w:val="EE0000"/>
                          </w:rPr>
                          <w:t>“High tail”</w:t>
                        </w:r>
                      </w:p>
                    </w:txbxContent>
                  </v:textbox>
                </v:shape>
              </v:group>
            </w:pict>
          </mc:Fallback>
        </mc:AlternateContent>
      </w:r>
      <w:r>
        <w:rPr>
          <w:noProof/>
        </w:rPr>
        <w:drawing>
          <wp:inline distT="0" distB="0" distL="0" distR="0" wp14:anchorId="5BD0182E" wp14:editId="1D66B16E">
            <wp:extent cx="6096000" cy="4572000"/>
            <wp:effectExtent l="0" t="0" r="0" b="0"/>
            <wp:docPr id="1768615917" name="Picture 9" descr="Quantile Process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antile Process Plo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5B0FF71C" w14:textId="735C0D4C" w:rsidR="00841B0A" w:rsidRPr="00110ED6" w:rsidRDefault="00A163D1" w:rsidP="00110ED6">
      <w:pPr>
        <w:ind w:firstLine="720"/>
      </w:pPr>
      <w:r>
        <w:lastRenderedPageBreak/>
        <w:t>Let’s</w:t>
      </w:r>
      <w:r w:rsidR="001E0B12">
        <w:t xml:space="preserve"> look at our results, they aren’t all that different from our </w:t>
      </w:r>
      <w:r w:rsidR="000C70ED">
        <w:t>single predictor</w:t>
      </w:r>
      <w:r w:rsidR="001E0B12">
        <w:t xml:space="preserve"> model</w:t>
      </w:r>
      <w:r w:rsidR="00C0671A">
        <w:t>…</w:t>
      </w:r>
      <w:r w:rsidR="001E0B12">
        <w:t xml:space="preserve"> until we reach the 90</w:t>
      </w:r>
      <w:r w:rsidR="001E0B12" w:rsidRPr="001E0B12">
        <w:rPr>
          <w:vertAlign w:val="superscript"/>
        </w:rPr>
        <w:t>th</w:t>
      </w:r>
      <w:r w:rsidR="001E0B12">
        <w:t xml:space="preserve"> percentile. </w:t>
      </w:r>
      <w:r w:rsidR="00841B0A">
        <w:t xml:space="preserve">The </w:t>
      </w:r>
      <w:r w:rsidR="006F6DD9">
        <w:t>“</w:t>
      </w:r>
      <w:r w:rsidR="00841B0A">
        <w:t xml:space="preserve">high tail” moves the opposite direction as our prior model when including specialty as a predictor!  </w:t>
      </w:r>
      <w:r w:rsidR="001E0B12">
        <w:t>The top 10% of antibiotic claims submitters by rate shift from closing the gap between rural and non-rural in our initial model</w:t>
      </w:r>
      <w:r w:rsidR="00C0671A">
        <w:t xml:space="preserve"> (</w:t>
      </w:r>
      <w:r w:rsidR="000C70ED">
        <w:t>Fig.</w:t>
      </w:r>
      <w:r w:rsidR="00C0671A">
        <w:t xml:space="preserve"> 4)</w:t>
      </w:r>
      <w:r w:rsidR="001E0B12">
        <w:t xml:space="preserve"> to expanding the gap between prescribing rates. How do we interpret this outcome?</w:t>
      </w:r>
      <w:r>
        <w:t xml:space="preserve"> Rural providers</w:t>
      </w:r>
      <w:r w:rsidR="00841B0A">
        <w:t xml:space="preserve"> appear to</w:t>
      </w:r>
      <w:r>
        <w:t xml:space="preserve"> have higher claim rates at every quantile 5-95 than their non-rural counterparts </w:t>
      </w:r>
      <w:r>
        <w:rPr>
          <w:i/>
          <w:iCs/>
        </w:rPr>
        <w:t xml:space="preserve">AND </w:t>
      </w:r>
      <w:r>
        <w:t xml:space="preserve">those differences are significant </w:t>
      </w:r>
      <w:r>
        <w:rPr>
          <w:i/>
          <w:iCs/>
        </w:rPr>
        <w:t xml:space="preserve">AND </w:t>
      </w:r>
      <w:r>
        <w:t xml:space="preserve">we have accounted for specialty type. </w:t>
      </w:r>
      <w:r w:rsidR="00841B0A">
        <w:t>Further, while the gap between prescribing rates closes as we approach the 90</w:t>
      </w:r>
      <w:r w:rsidR="00841B0A" w:rsidRPr="00841B0A">
        <w:rPr>
          <w:vertAlign w:val="superscript"/>
        </w:rPr>
        <w:t>th</w:t>
      </w:r>
      <w:r w:rsidR="00841B0A">
        <w:t xml:space="preserve"> percentile, or highest 10% of prescribers, it widens again among our highest antibiotic claim submitters by rate. It’s worth nothing that</w:t>
      </w:r>
      <w:r w:rsidR="00C0671A">
        <w:t xml:space="preserve"> our rate difference, the y-axis, is a little bit condensed. Our </w:t>
      </w:r>
      <w:r w:rsidR="00537F57">
        <w:t>range</w:t>
      </w:r>
      <w:r w:rsidR="00C0671A">
        <w:t xml:space="preserve"> of</w:t>
      </w:r>
      <w:r w:rsidR="00841B0A">
        <w:t xml:space="preserve"> rate-of-claims</w:t>
      </w:r>
      <w:r w:rsidR="00C0671A">
        <w:t xml:space="preserve"> is slightly smaller when adding specialty as an additional predictor. </w:t>
      </w:r>
    </w:p>
    <w:p w14:paraId="4EFEC9B6" w14:textId="3483CBA2" w:rsidR="00C0671A" w:rsidRDefault="00C0671A" w:rsidP="00C0671A">
      <w:pPr>
        <w:rPr>
          <w:b/>
          <w:bCs/>
        </w:rPr>
      </w:pPr>
      <w:r w:rsidRPr="00C0671A">
        <w:rPr>
          <w:b/>
          <w:bCs/>
        </w:rPr>
        <w:t xml:space="preserve">Step </w:t>
      </w:r>
      <w:r w:rsidR="00BA2311">
        <w:rPr>
          <w:b/>
          <w:bCs/>
        </w:rPr>
        <w:t>4</w:t>
      </w:r>
      <w:r w:rsidRPr="00C0671A">
        <w:rPr>
          <w:b/>
          <w:bCs/>
        </w:rPr>
        <w:t>, what does this all mean?</w:t>
      </w:r>
    </w:p>
    <w:p w14:paraId="3F1514D9" w14:textId="53CE0F5E" w:rsidR="00C0671A" w:rsidRDefault="00C0671A" w:rsidP="00C0671A">
      <w:r>
        <w:rPr>
          <w:b/>
          <w:bCs/>
        </w:rPr>
        <w:tab/>
      </w:r>
      <w:r>
        <w:t xml:space="preserve">Medicare data can provide valuable insight into the prescribing practices </w:t>
      </w:r>
      <w:r w:rsidR="00537F57">
        <w:t xml:space="preserve">of different specialties and their locations. We can evaluate claim rate volume and make inferences based on our results. However, we must use caution. Volume does not equate to inappropriate use of antibiotics in every case. While there may be associations between high volume and higher levels of antibiotic prescribing, we did NOT evaluate those relationships here. In a nutshell, we have expanded on prior literature by adding specialty and rural versus non-rural provider location as predictors when evaluating prescribing practices in North Carolina. </w:t>
      </w:r>
    </w:p>
    <w:p w14:paraId="467B60ED" w14:textId="198632A3" w:rsidR="008A60CD" w:rsidRDefault="006F6DD9" w:rsidP="00910AE5">
      <w:pPr>
        <w:rPr>
          <w:b/>
          <w:bCs/>
        </w:rPr>
      </w:pPr>
      <w:r>
        <w:tab/>
        <w:t xml:space="preserve">In a concluding sentence we can say: </w:t>
      </w:r>
      <w:r w:rsidRPr="006F6DD9">
        <w:rPr>
          <w:b/>
          <w:bCs/>
        </w:rPr>
        <w:t xml:space="preserve">Rural North Carolina Medicare providers </w:t>
      </w:r>
      <w:r w:rsidR="00910AE5" w:rsidRPr="006F6DD9">
        <w:rPr>
          <w:b/>
          <w:bCs/>
        </w:rPr>
        <w:t>submit</w:t>
      </w:r>
      <w:r w:rsidR="00910AE5">
        <w:rPr>
          <w:b/>
          <w:bCs/>
        </w:rPr>
        <w:t>ted</w:t>
      </w:r>
      <w:r w:rsidRPr="006F6DD9">
        <w:rPr>
          <w:b/>
          <w:bCs/>
        </w:rPr>
        <w:t xml:space="preserve"> a significantly higher rate of antibiotic claims per 1,000 beneficiaries when compared to their non-rural counterparts</w:t>
      </w:r>
      <w:r>
        <w:rPr>
          <w:b/>
          <w:bCs/>
        </w:rPr>
        <w:t xml:space="preserve"> when </w:t>
      </w:r>
      <w:r w:rsidR="00943EE3">
        <w:rPr>
          <w:b/>
          <w:bCs/>
        </w:rPr>
        <w:t>including</w:t>
      </w:r>
      <w:r>
        <w:rPr>
          <w:b/>
          <w:bCs/>
        </w:rPr>
        <w:t xml:space="preserve"> specialty as predictor of claim rate</w:t>
      </w:r>
      <w:r w:rsidR="00910AE5">
        <w:rPr>
          <w:b/>
          <w:bCs/>
        </w:rPr>
        <w:t xml:space="preserve"> from 2018-2023</w:t>
      </w:r>
      <w:r w:rsidRPr="006F6DD9">
        <w:rPr>
          <w:b/>
          <w:bCs/>
        </w:rPr>
        <w:t xml:space="preserve">. </w:t>
      </w:r>
    </w:p>
    <w:p w14:paraId="663533C3" w14:textId="77777777" w:rsidR="008A60CD" w:rsidRDefault="008A60CD">
      <w:pPr>
        <w:rPr>
          <w:b/>
          <w:bCs/>
        </w:rPr>
      </w:pPr>
      <w:r>
        <w:rPr>
          <w:b/>
          <w:bCs/>
        </w:rPr>
        <w:br w:type="page"/>
      </w:r>
    </w:p>
    <w:p w14:paraId="4BD8DD74" w14:textId="4C514E49" w:rsidR="00910AE5" w:rsidRDefault="00910AE5" w:rsidP="00910AE5">
      <w:pPr>
        <w:rPr>
          <w:b/>
          <w:bCs/>
        </w:rPr>
      </w:pPr>
      <w:r w:rsidRPr="00C0671A">
        <w:rPr>
          <w:b/>
          <w:bCs/>
        </w:rPr>
        <w:lastRenderedPageBreak/>
        <w:t xml:space="preserve">Step </w:t>
      </w:r>
      <w:r>
        <w:rPr>
          <w:b/>
          <w:bCs/>
        </w:rPr>
        <w:t>5</w:t>
      </w:r>
      <w:r w:rsidR="008B4FC2">
        <w:rPr>
          <w:b/>
          <w:bCs/>
        </w:rPr>
        <w:t xml:space="preserve"> (added later)</w:t>
      </w:r>
      <w:r w:rsidRPr="00C0671A">
        <w:rPr>
          <w:b/>
          <w:bCs/>
        </w:rPr>
        <w:t xml:space="preserve">, </w:t>
      </w:r>
      <w:r>
        <w:rPr>
          <w:b/>
          <w:bCs/>
        </w:rPr>
        <w:t>but wait, there’s more!</w:t>
      </w:r>
    </w:p>
    <w:p w14:paraId="45AE0E84" w14:textId="1DC868F6" w:rsidR="008B4FC2" w:rsidRDefault="008B4FC2" w:rsidP="00910AE5">
      <w:r>
        <w:rPr>
          <w:b/>
          <w:bCs/>
        </w:rPr>
        <w:tab/>
      </w:r>
      <w:r>
        <w:t xml:space="preserve">2018-2023 is a big range. Some studies have looked at multiple-year ranges, for example: </w:t>
      </w:r>
      <w:hyperlink r:id="rId13" w:history="1">
        <w:r w:rsidRPr="008B4FC2">
          <w:rPr>
            <w:rStyle w:val="Hyperlink"/>
          </w:rPr>
          <w:t>Antibiotic prescribing to Kentucky Medicaid children,2012-2017: Prescribing is higher in rural areas</w:t>
        </w:r>
      </w:hyperlink>
      <w:r>
        <w:t xml:space="preserve">. However, Medicare-specific studies have </w:t>
      </w:r>
      <w:r>
        <w:rPr>
          <w:i/>
          <w:iCs/>
        </w:rPr>
        <w:t>generally</w:t>
      </w:r>
      <w:r>
        <w:t xml:space="preserve"> been a single year study, particularly the one we are basing this evaluation off: </w:t>
      </w:r>
      <w:hyperlink r:id="rId14" w:history="1">
        <w:r w:rsidRPr="008B4FC2">
          <w:rPr>
            <w:rStyle w:val="Hyperlink"/>
          </w:rPr>
          <w:t>Identifying Higher-Volume Antibiotic Outpatient Prescribers Using Publicly</w:t>
        </w:r>
      </w:hyperlink>
      <w:r>
        <w:t xml:space="preserve">. Further, providers are more aware of antimicrobial stewardship and the implications over-prescribing can have on antibiotic resistance </w:t>
      </w:r>
      <w:hyperlink r:id="rId15" w:history="1">
        <w:r w:rsidRPr="008B4FC2">
          <w:rPr>
            <w:rStyle w:val="Hyperlink"/>
          </w:rPr>
          <w:t>2019 Antibiotic resistance threats</w:t>
        </w:r>
      </w:hyperlink>
      <w:r>
        <w:t xml:space="preserve"> and some updated numbers in </w:t>
      </w:r>
      <w:hyperlink r:id="rId16" w:history="1">
        <w:r w:rsidRPr="008B4FC2">
          <w:rPr>
            <w:rStyle w:val="Hyperlink"/>
          </w:rPr>
          <w:t>2024</w:t>
        </w:r>
      </w:hyperlink>
      <w:r>
        <w:t xml:space="preserve">. Programs including North Carolina specific </w:t>
      </w:r>
      <w:hyperlink r:id="rId17" w:history="1">
        <w:r w:rsidRPr="008B4FC2">
          <w:rPr>
            <w:rStyle w:val="Hyperlink"/>
          </w:rPr>
          <w:t>antimicrobial awareness week</w:t>
        </w:r>
      </w:hyperlink>
      <w:r>
        <w:t xml:space="preserve"> and CDC based programs supporting </w:t>
      </w:r>
      <w:hyperlink r:id="rId18" w:history="1">
        <w:r w:rsidRPr="008B4FC2">
          <w:rPr>
            <w:rStyle w:val="Hyperlink"/>
          </w:rPr>
          <w:t>Antibiotic Stewardship</w:t>
        </w:r>
      </w:hyperlink>
      <w:r>
        <w:t xml:space="preserve"> at the facility level. </w:t>
      </w:r>
    </w:p>
    <w:p w14:paraId="1A6B8A82" w14:textId="505002CA" w:rsidR="002406DF" w:rsidRDefault="008B4FC2" w:rsidP="00910AE5">
      <w:r>
        <w:tab/>
      </w:r>
      <w:r w:rsidR="002406DF">
        <w:t>So,</w:t>
      </w:r>
      <w:r>
        <w:t xml:space="preserve"> do programs raising awareness, informing best practices, and increased surveillance affect antibiotic stewardship, particularly with health equity in mind? </w:t>
      </w:r>
    </w:p>
    <w:p w14:paraId="74494D64" w14:textId="561395CC" w:rsidR="002406DF" w:rsidRPr="002406DF" w:rsidRDefault="002406DF" w:rsidP="00910AE5">
      <w:pPr>
        <w:rPr>
          <w:b/>
          <w:bCs/>
          <w:sz w:val="20"/>
          <w:szCs w:val="20"/>
        </w:rPr>
      </w:pPr>
      <w:r w:rsidRPr="002406DF">
        <w:rPr>
          <w:b/>
          <w:bCs/>
          <w:sz w:val="20"/>
          <w:szCs w:val="20"/>
        </w:rPr>
        <w:t>Fig 6. Difference in antibiotic prescribing claims per 1,000 beneficiaries among rural providers compared to non-rural providers accounting for specialty type, North Carolina 2023</w:t>
      </w:r>
    </w:p>
    <w:p w14:paraId="5F5E660C" w14:textId="7A565675" w:rsidR="002406DF" w:rsidRDefault="002406DF" w:rsidP="002406DF">
      <w:pPr>
        <w:jc w:val="center"/>
      </w:pPr>
      <w:r>
        <w:rPr>
          <w:noProof/>
        </w:rPr>
        <w:drawing>
          <wp:inline distT="0" distB="0" distL="0" distR="0" wp14:anchorId="32EBB914" wp14:editId="6662E0C8">
            <wp:extent cx="6096000" cy="4572000"/>
            <wp:effectExtent l="0" t="0" r="0" b="0"/>
            <wp:docPr id="1688756306" name="Picture 4" descr="Quantile Process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ntile Process Plo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0086A42C" w14:textId="3FAC72B0" w:rsidR="008B4FC2" w:rsidRDefault="002406DF" w:rsidP="00910AE5">
      <w:r>
        <w:tab/>
        <w:t xml:space="preserve">Look at this! When we confine our evaluation and analysis to 2023 only, our “high tail” we talked about in Fig. 5 completely changes. How can we interpret this </w:t>
      </w:r>
      <w:r w:rsidR="0082580E">
        <w:t>visual</w:t>
      </w:r>
      <w:r>
        <w:t>? In simple terms, the median prescribing rate among the highest prescribers (95</w:t>
      </w:r>
      <w:r w:rsidRPr="002406DF">
        <w:rPr>
          <w:vertAlign w:val="superscript"/>
        </w:rPr>
        <w:t>th</w:t>
      </w:r>
      <w:r>
        <w:t xml:space="preserve"> percentile) is not significantly different among rural and non-rural providers. Based on this singular analysis, we </w:t>
      </w:r>
      <w:r>
        <w:rPr>
          <w:i/>
          <w:iCs/>
        </w:rPr>
        <w:t xml:space="preserve">may </w:t>
      </w:r>
      <w:r>
        <w:t xml:space="preserve">have closed the gap in high prescriber </w:t>
      </w:r>
      <w:r>
        <w:lastRenderedPageBreak/>
        <w:t>differences by population density when accounting for specialty. The remaining providers falling between the 5</w:t>
      </w:r>
      <w:r w:rsidRPr="002406DF">
        <w:rPr>
          <w:vertAlign w:val="superscript"/>
        </w:rPr>
        <w:t>th</w:t>
      </w:r>
      <w:r>
        <w:t xml:space="preserve"> and 90</w:t>
      </w:r>
      <w:r w:rsidRPr="002406DF">
        <w:rPr>
          <w:vertAlign w:val="superscript"/>
        </w:rPr>
        <w:t>th</w:t>
      </w:r>
      <w:r>
        <w:t xml:space="preserve"> percentiles still have a significant discrepancy in antibiotic claim rate; rural providers prescribe at a higher rate compared to non-rural providers. </w:t>
      </w:r>
    </w:p>
    <w:p w14:paraId="3A4EF56E" w14:textId="089DC6B8" w:rsidR="002406DF" w:rsidRDefault="002406DF" w:rsidP="00910AE5">
      <w:r>
        <w:tab/>
        <w:t xml:space="preserve">Let’s </w:t>
      </w:r>
      <w:proofErr w:type="gramStart"/>
      <w:r>
        <w:t>do</w:t>
      </w:r>
      <w:proofErr w:type="gramEnd"/>
      <w:r>
        <w:t xml:space="preserve"> one more comparison just so we can visualize what we’re </w:t>
      </w:r>
      <w:r w:rsidR="00CC17EB">
        <w:t>implying</w:t>
      </w:r>
      <w:r>
        <w:t xml:space="preserve">. </w:t>
      </w:r>
    </w:p>
    <w:p w14:paraId="31610E23" w14:textId="2887E1EA" w:rsidR="00951512" w:rsidRPr="008A60CD" w:rsidRDefault="0082580E" w:rsidP="00951512">
      <w:r>
        <w:t xml:space="preserve">Let’s run a view of each quantile of prescriber by year, so comparing each year from 2018-2022 to 2023. We would expect to see prior years </w:t>
      </w:r>
      <w:r>
        <w:rPr>
          <w:i/>
          <w:iCs/>
        </w:rPr>
        <w:t xml:space="preserve">generally </w:t>
      </w:r>
      <w:r>
        <w:t xml:space="preserve">higher, especially in the highest volume prescribers. </w:t>
      </w:r>
    </w:p>
    <w:p w14:paraId="0F2A4574" w14:textId="17250A47" w:rsidR="00951512" w:rsidRPr="00951512" w:rsidRDefault="00951512" w:rsidP="00910AE5">
      <w:pPr>
        <w:rPr>
          <w:b/>
          <w:bCs/>
          <w:sz w:val="20"/>
          <w:szCs w:val="20"/>
        </w:rPr>
      </w:pPr>
      <w:r w:rsidRPr="002406DF">
        <w:rPr>
          <w:b/>
          <w:bCs/>
          <w:sz w:val="20"/>
          <w:szCs w:val="20"/>
        </w:rPr>
        <w:t xml:space="preserve">Fig </w:t>
      </w:r>
      <w:r>
        <w:rPr>
          <w:b/>
          <w:bCs/>
          <w:sz w:val="20"/>
          <w:szCs w:val="20"/>
        </w:rPr>
        <w:t>7</w:t>
      </w:r>
      <w:r w:rsidRPr="002406DF">
        <w:rPr>
          <w:b/>
          <w:bCs/>
          <w:sz w:val="20"/>
          <w:szCs w:val="20"/>
        </w:rPr>
        <w:t xml:space="preserve">. Difference in antibiotic prescribing claims per 1,000 </w:t>
      </w:r>
      <w:r>
        <w:rPr>
          <w:b/>
          <w:bCs/>
          <w:sz w:val="20"/>
          <w:szCs w:val="20"/>
        </w:rPr>
        <w:t xml:space="preserve">by year </w:t>
      </w:r>
      <w:r w:rsidR="00905D6B">
        <w:rPr>
          <w:b/>
          <w:bCs/>
          <w:sz w:val="20"/>
          <w:szCs w:val="20"/>
        </w:rPr>
        <w:t>compared</w:t>
      </w:r>
      <w:r>
        <w:rPr>
          <w:b/>
          <w:bCs/>
          <w:sz w:val="20"/>
          <w:szCs w:val="20"/>
        </w:rPr>
        <w:t xml:space="preserve"> to 2023, North Carolina 2018-2023</w:t>
      </w:r>
    </w:p>
    <w:p w14:paraId="6FCBCA81" w14:textId="24354BD6" w:rsidR="00951512" w:rsidRDefault="003778AD" w:rsidP="00951512">
      <w:pPr>
        <w:jc w:val="center"/>
      </w:pPr>
      <w:r>
        <w:rPr>
          <w:noProof/>
        </w:rPr>
        <w:drawing>
          <wp:inline distT="0" distB="0" distL="0" distR="0" wp14:anchorId="6F29AAA6" wp14:editId="33D59802">
            <wp:extent cx="6096000" cy="4572000"/>
            <wp:effectExtent l="0" t="0" r="0" b="0"/>
            <wp:docPr id="1017138155" name="Picture 10" descr="Panel 1 of quantile process plots for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nel 1 of quantile process plots for ra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3D2414BC" w14:textId="232D927F" w:rsidR="003778AD" w:rsidRDefault="003778AD" w:rsidP="00FE31EB">
      <w:pPr>
        <w:jc w:val="center"/>
        <w:rPr>
          <w:noProof/>
        </w:rPr>
      </w:pPr>
      <w:r>
        <w:rPr>
          <w:noProof/>
        </w:rPr>
        <w:lastRenderedPageBreak/>
        <w:drawing>
          <wp:inline distT="0" distB="0" distL="0" distR="0" wp14:anchorId="43B95BC9" wp14:editId="05AD2F79">
            <wp:extent cx="4505325" cy="2781300"/>
            <wp:effectExtent l="0" t="0" r="9525" b="0"/>
            <wp:docPr id="1248290403" name="Picture 11" descr="Panel 2 of quantile process plots for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nel 2 of quantile process plots for rate."/>
                    <pic:cNvPicPr>
                      <a:picLocks noChangeAspect="1" noChangeArrowheads="1"/>
                    </pic:cNvPicPr>
                  </pic:nvPicPr>
                  <pic:blipFill rotWithShape="1">
                    <a:blip r:embed="rId21">
                      <a:extLst>
                        <a:ext uri="{28A0092B-C50C-407E-A947-70E740481C1C}">
                          <a14:useLocalDpi xmlns:a14="http://schemas.microsoft.com/office/drawing/2010/main" val="0"/>
                        </a:ext>
                      </a:extLst>
                    </a:blip>
                    <a:srcRect l="1093" t="2083" r="25000" b="37083"/>
                    <a:stretch>
                      <a:fillRect/>
                    </a:stretch>
                  </pic:blipFill>
                  <pic:spPr bwMode="auto">
                    <a:xfrm>
                      <a:off x="0" y="0"/>
                      <a:ext cx="4505325" cy="2781300"/>
                    </a:xfrm>
                    <a:prstGeom prst="rect">
                      <a:avLst/>
                    </a:prstGeom>
                    <a:noFill/>
                    <a:ln>
                      <a:noFill/>
                    </a:ln>
                    <a:extLst>
                      <a:ext uri="{53640926-AAD7-44D8-BBD7-CCE9431645EC}">
                        <a14:shadowObscured xmlns:a14="http://schemas.microsoft.com/office/drawing/2010/main"/>
                      </a:ext>
                    </a:extLst>
                  </pic:spPr>
                </pic:pic>
              </a:graphicData>
            </a:graphic>
          </wp:inline>
        </w:drawing>
      </w:r>
    </w:p>
    <w:p w14:paraId="3DC2FF9B" w14:textId="73D20570" w:rsidR="00951512" w:rsidRDefault="00CC17EB" w:rsidP="00910AE5">
      <w:proofErr w:type="gramStart"/>
      <w:r>
        <w:t>So</w:t>
      </w:r>
      <w:proofErr w:type="gramEnd"/>
      <w:r>
        <w:t xml:space="preserve"> we do see that when comparing years to 2023, we generally see a higher antibiotic claim rate (Fig. 7). </w:t>
      </w:r>
      <w:r w:rsidR="003778AD">
        <w:t xml:space="preserve">This visual is a bit trickier to interpret so </w:t>
      </w:r>
      <w:proofErr w:type="gramStart"/>
      <w:r w:rsidR="003778AD">
        <w:t>lets</w:t>
      </w:r>
      <w:proofErr w:type="gramEnd"/>
      <w:r w:rsidR="003778AD">
        <w:t xml:space="preserve"> unpack it in bullet points. </w:t>
      </w:r>
    </w:p>
    <w:p w14:paraId="17A9A433" w14:textId="07BB993A" w:rsidR="003778AD" w:rsidRDefault="003778AD" w:rsidP="003778AD">
      <w:pPr>
        <w:pStyle w:val="ListParagraph"/>
        <w:numPr>
          <w:ilvl w:val="0"/>
          <w:numId w:val="1"/>
        </w:numPr>
      </w:pPr>
      <w:r>
        <w:t>2023 is our reference year.</w:t>
      </w:r>
    </w:p>
    <w:p w14:paraId="59583203" w14:textId="5941A011" w:rsidR="003778AD" w:rsidRDefault="003778AD" w:rsidP="003778AD">
      <w:pPr>
        <w:pStyle w:val="ListParagraph"/>
        <w:numPr>
          <w:ilvl w:val="0"/>
          <w:numId w:val="1"/>
        </w:numPr>
      </w:pPr>
      <w:r>
        <w:t xml:space="preserve">Each graph shows the median prescribing claim rate difference of the year identified in the y-axis label </w:t>
      </w:r>
      <w:r>
        <w:rPr>
          <w:i/>
          <w:iCs/>
        </w:rPr>
        <w:t>when compared to 2023.</w:t>
      </w:r>
    </w:p>
    <w:p w14:paraId="22F11C4A" w14:textId="68872E59" w:rsidR="003778AD" w:rsidRDefault="003778AD" w:rsidP="003778AD">
      <w:pPr>
        <w:pStyle w:val="ListParagraph"/>
        <w:numPr>
          <w:ilvl w:val="0"/>
          <w:numId w:val="1"/>
        </w:numPr>
      </w:pPr>
      <w:r>
        <w:t xml:space="preserve">Year is the only </w:t>
      </w:r>
      <w:proofErr w:type="gramStart"/>
      <w:r>
        <w:t>predictor,</w:t>
      </w:r>
      <w:proofErr w:type="gramEnd"/>
      <w:r>
        <w:t xml:space="preserve"> we just want to see what effect year has on each level of prescriber from lowest percentile (5</w:t>
      </w:r>
      <w:r w:rsidRPr="003778AD">
        <w:rPr>
          <w:vertAlign w:val="superscript"/>
        </w:rPr>
        <w:t>th</w:t>
      </w:r>
      <w:r>
        <w:t>) to highest (95</w:t>
      </w:r>
      <w:r w:rsidRPr="003778AD">
        <w:rPr>
          <w:vertAlign w:val="superscript"/>
        </w:rPr>
        <w:t>th</w:t>
      </w:r>
      <w:r>
        <w:t>).</w:t>
      </w:r>
    </w:p>
    <w:p w14:paraId="0982A776" w14:textId="13A95A14" w:rsidR="00951512" w:rsidRDefault="003778AD" w:rsidP="008A60CD">
      <w:pPr>
        <w:ind w:firstLine="360"/>
      </w:pPr>
      <w:r>
        <w:t xml:space="preserve">Visually, each graph gets closer to the 0 difference in antibiotic claim rate line and more of our confidence intervals cross the </w:t>
      </w:r>
      <w:r w:rsidR="00905D6B">
        <w:t>0-line</w:t>
      </w:r>
      <w:r>
        <w:t xml:space="preserve"> showing less significance year over year. In a sentence we can say antibiotic claim rates per 1,000 beneficiaries were the </w:t>
      </w:r>
      <w:r>
        <w:rPr>
          <w:i/>
          <w:iCs/>
        </w:rPr>
        <w:t>most</w:t>
      </w:r>
      <w:r>
        <w:t xml:space="preserve"> different in 2018 when compared to 2023. </w:t>
      </w:r>
      <w:r w:rsidR="008A60CD">
        <w:t xml:space="preserve">To further help visualize claims by year, we can map predicted claims using the previous model, but in a </w:t>
      </w:r>
      <w:r w:rsidR="00347074">
        <w:t xml:space="preserve">maybe clearer way. The figure below shows the median rate of prescriptions among providers while removing our reference groups. Essentially, we will be showing what is driving the visual decrease in antibiotic prescribing claims. </w:t>
      </w:r>
      <w:r w:rsidR="008A60CD">
        <w:t xml:space="preserve">  </w:t>
      </w:r>
    </w:p>
    <w:p w14:paraId="614BD82C" w14:textId="77777777" w:rsidR="00FE31EB" w:rsidRDefault="00FE31EB">
      <w:pPr>
        <w:rPr>
          <w:b/>
          <w:bCs/>
          <w:sz w:val="20"/>
          <w:szCs w:val="20"/>
        </w:rPr>
      </w:pPr>
      <w:r>
        <w:rPr>
          <w:b/>
          <w:bCs/>
          <w:sz w:val="20"/>
          <w:szCs w:val="20"/>
        </w:rPr>
        <w:br w:type="page"/>
      </w:r>
    </w:p>
    <w:p w14:paraId="5CF9EF1E" w14:textId="2659E250" w:rsidR="008A60CD" w:rsidRPr="008A60CD" w:rsidRDefault="008A60CD" w:rsidP="008A60CD">
      <w:pPr>
        <w:rPr>
          <w:b/>
          <w:bCs/>
          <w:sz w:val="20"/>
          <w:szCs w:val="20"/>
        </w:rPr>
      </w:pPr>
      <w:r w:rsidRPr="002406DF">
        <w:rPr>
          <w:b/>
          <w:bCs/>
          <w:sz w:val="20"/>
          <w:szCs w:val="20"/>
        </w:rPr>
        <w:lastRenderedPageBreak/>
        <w:t xml:space="preserve">Fig </w:t>
      </w:r>
      <w:r>
        <w:rPr>
          <w:b/>
          <w:bCs/>
          <w:sz w:val="20"/>
          <w:szCs w:val="20"/>
        </w:rPr>
        <w:t>8. Median predicted</w:t>
      </w:r>
      <w:r w:rsidRPr="002406DF">
        <w:rPr>
          <w:b/>
          <w:bCs/>
          <w:sz w:val="20"/>
          <w:szCs w:val="20"/>
        </w:rPr>
        <w:t xml:space="preserve"> claims per 1,000 </w:t>
      </w:r>
      <w:r>
        <w:rPr>
          <w:b/>
          <w:bCs/>
          <w:sz w:val="20"/>
          <w:szCs w:val="20"/>
        </w:rPr>
        <w:t>by year, North Carolina 2018-2023</w:t>
      </w:r>
    </w:p>
    <w:p w14:paraId="2FABCEB5" w14:textId="28911F38" w:rsidR="008A60CD" w:rsidRDefault="00B4098F" w:rsidP="008A60CD">
      <w:pPr>
        <w:ind w:firstLine="360"/>
      </w:pPr>
      <w:r>
        <w:rPr>
          <w:noProof/>
        </w:rPr>
        <w:drawing>
          <wp:inline distT="0" distB="0" distL="0" distR="0" wp14:anchorId="4B086C07" wp14:editId="37793AA7">
            <wp:extent cx="6092190" cy="4093535"/>
            <wp:effectExtent l="0" t="0" r="3810" b="2540"/>
            <wp:docPr id="1143534001" name="Picture 5" descr="The SGPlot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SGPlot Procedure"/>
                    <pic:cNvPicPr>
                      <a:picLocks noChangeAspect="1" noChangeArrowheads="1"/>
                    </pic:cNvPicPr>
                  </pic:nvPicPr>
                  <pic:blipFill rotWithShape="1">
                    <a:blip r:embed="rId22">
                      <a:extLst>
                        <a:ext uri="{28A0092B-C50C-407E-A947-70E740481C1C}">
                          <a14:useLocalDpi xmlns:a14="http://schemas.microsoft.com/office/drawing/2010/main" val="0"/>
                        </a:ext>
                      </a:extLst>
                    </a:blip>
                    <a:srcRect t="10465"/>
                    <a:stretch>
                      <a:fillRect/>
                    </a:stretch>
                  </pic:blipFill>
                  <pic:spPr bwMode="auto">
                    <a:xfrm>
                      <a:off x="0" y="0"/>
                      <a:ext cx="6092190" cy="4093535"/>
                    </a:xfrm>
                    <a:prstGeom prst="rect">
                      <a:avLst/>
                    </a:prstGeom>
                    <a:noFill/>
                    <a:ln>
                      <a:noFill/>
                    </a:ln>
                    <a:extLst>
                      <a:ext uri="{53640926-AAD7-44D8-BBD7-CCE9431645EC}">
                        <a14:shadowObscured xmlns:a14="http://schemas.microsoft.com/office/drawing/2010/main"/>
                      </a:ext>
                    </a:extLst>
                  </pic:spPr>
                </pic:pic>
              </a:graphicData>
            </a:graphic>
          </wp:inline>
        </w:drawing>
      </w:r>
    </w:p>
    <w:p w14:paraId="6AC849DC" w14:textId="585B0719" w:rsidR="008A60CD" w:rsidRPr="003778AD" w:rsidRDefault="008A60CD" w:rsidP="008A60CD">
      <w:pPr>
        <w:ind w:firstLine="360"/>
      </w:pPr>
      <w:r>
        <w:tab/>
        <w:t>Here we can visualize the decrease and range between selected percentiles of prescribers and their predicted median claim rate</w:t>
      </w:r>
      <w:r w:rsidR="003F38F5">
        <w:t xml:space="preserve"> from 2018 - 2023</w:t>
      </w:r>
      <w:r>
        <w:t xml:space="preserve">. </w:t>
      </w:r>
      <w:r w:rsidR="008C4321">
        <w:t>The key observation here is</w:t>
      </w:r>
      <w:r>
        <w:t xml:space="preserve"> the </w:t>
      </w:r>
      <w:r w:rsidR="008C4321">
        <w:t>95</w:t>
      </w:r>
      <w:r w:rsidR="008C4321" w:rsidRPr="008C4321">
        <w:rPr>
          <w:vertAlign w:val="superscript"/>
        </w:rPr>
        <w:t>th</w:t>
      </w:r>
      <w:r w:rsidR="008C4321">
        <w:rPr>
          <w:vertAlign w:val="superscript"/>
        </w:rPr>
        <w:t xml:space="preserve"> </w:t>
      </w:r>
      <w:r w:rsidR="008C4321">
        <w:t>and 90</w:t>
      </w:r>
      <w:r w:rsidR="008C4321" w:rsidRPr="008C4321">
        <w:rPr>
          <w:vertAlign w:val="superscript"/>
        </w:rPr>
        <w:t>th</w:t>
      </w:r>
      <w:r w:rsidR="008C4321">
        <w:t xml:space="preserve"> </w:t>
      </w:r>
      <w:r>
        <w:t>percentile of prescribers</w:t>
      </w:r>
      <w:r w:rsidR="008C4321">
        <w:t>. Both highest volume prescribers</w:t>
      </w:r>
      <w:r>
        <w:t xml:space="preserve"> </w:t>
      </w:r>
      <w:r w:rsidR="008C4321">
        <w:t>have shown a small, but visible decrease in predicted median number of antibiotic prescriptions claims since 2018</w:t>
      </w:r>
      <w:r>
        <w:t>.</w:t>
      </w:r>
      <w:r w:rsidR="008C4321">
        <w:t xml:space="preserve"> We can see this reflected in our yearly graphs as well (Fig 7.)</w:t>
      </w:r>
      <w:r w:rsidR="00347074">
        <w:t xml:space="preserve">, </w:t>
      </w:r>
      <w:r w:rsidR="008C4321">
        <w:t xml:space="preserve">but it may be easier to comprehend in the line-style visual. </w:t>
      </w:r>
      <w:r>
        <w:t xml:space="preserve"> Each line shows the median </w:t>
      </w:r>
      <w:r w:rsidR="00347074">
        <w:t>predicted antibiotic claim rate</w:t>
      </w:r>
      <w:r>
        <w:t xml:space="preserve"> per year, </w:t>
      </w:r>
      <w:r w:rsidR="00347074">
        <w:t>for a rural, non-reference group specialty (I used internal medicine) for quantiles 5, 25, 50, 75, 90 and 95. For example, a rural but not internal medicine provider in the 25</w:t>
      </w:r>
      <w:r w:rsidR="00347074" w:rsidRPr="00347074">
        <w:rPr>
          <w:vertAlign w:val="superscript"/>
        </w:rPr>
        <w:t>th</w:t>
      </w:r>
      <w:r w:rsidR="00347074">
        <w:t xml:space="preserve"> percentile could be expected to claim about 200 antibiotics per 1,000 beneficiaries in 2018 and closer to 150 in 2023. Figure 8 does </w:t>
      </w:r>
      <w:r>
        <w:t>not</w:t>
      </w:r>
      <w:r w:rsidR="002F48BF">
        <w:t xml:space="preserve"> have</w:t>
      </w:r>
      <w:r>
        <w:t xml:space="preserve"> the number of providers comprising each quantile (we know many more providers fall on the lower end of the data, hence our right-skew). </w:t>
      </w:r>
    </w:p>
    <w:p w14:paraId="63E3BD53" w14:textId="3FA6E582" w:rsidR="00FE31EB" w:rsidRPr="00347074" w:rsidRDefault="00951512" w:rsidP="00347074">
      <w:pPr>
        <w:ind w:firstLine="720"/>
      </w:pPr>
      <w:r>
        <w:t xml:space="preserve">Let’s make one more leap and add year into our </w:t>
      </w:r>
      <w:r w:rsidRPr="0065361D">
        <w:rPr>
          <w:b/>
          <w:bCs/>
        </w:rPr>
        <w:t>full</w:t>
      </w:r>
      <w:r>
        <w:t xml:space="preserve"> model</w:t>
      </w:r>
      <w:r w:rsidR="0065361D">
        <w:t xml:space="preserve"> (see appendices for annual models)</w:t>
      </w:r>
      <w:r>
        <w:t>. When</w:t>
      </w:r>
      <w:r w:rsidR="00CC17EB">
        <w:t xml:space="preserve"> we add year into our model (Fig. </w:t>
      </w:r>
      <w:r w:rsidR="008A60CD">
        <w:t>9</w:t>
      </w:r>
      <w:r w:rsidR="00CC17EB">
        <w:t>). We can say that year appears to be a predictor of higher antibiotic claim rate</w:t>
      </w:r>
      <w:r w:rsidR="003778AD">
        <w:t xml:space="preserve"> along with population density and specialty type. Are antibiotic stewardship </w:t>
      </w:r>
      <w:r w:rsidR="00905D6B">
        <w:t xml:space="preserve">interventions working in rural areas? Are rural providers more aware of antimicrobial resistance? We cannot definitively say any of this, however we can summarize our findings to North Carolina Medicare Part D providers submitting antibiotic claims. </w:t>
      </w:r>
    </w:p>
    <w:p w14:paraId="11852B15" w14:textId="3992D45E" w:rsidR="008A60CD" w:rsidRPr="008A60CD" w:rsidRDefault="008A60CD" w:rsidP="008A60CD">
      <w:pPr>
        <w:rPr>
          <w:b/>
          <w:bCs/>
          <w:sz w:val="20"/>
          <w:szCs w:val="20"/>
        </w:rPr>
      </w:pPr>
      <w:r w:rsidRPr="002406DF">
        <w:rPr>
          <w:b/>
          <w:bCs/>
          <w:sz w:val="20"/>
          <w:szCs w:val="20"/>
        </w:rPr>
        <w:t xml:space="preserve">Fig </w:t>
      </w:r>
      <w:r>
        <w:rPr>
          <w:b/>
          <w:bCs/>
          <w:sz w:val="20"/>
          <w:szCs w:val="20"/>
        </w:rPr>
        <w:t>9</w:t>
      </w:r>
      <w:r w:rsidRPr="002406DF">
        <w:rPr>
          <w:b/>
          <w:bCs/>
          <w:sz w:val="20"/>
          <w:szCs w:val="20"/>
        </w:rPr>
        <w:t>. Difference in antibiotic prescribing claims per 1,000 beneficiaries among rural providers compared to non-rural providers accounting for specialty type,</w:t>
      </w:r>
      <w:r>
        <w:rPr>
          <w:b/>
          <w:bCs/>
          <w:sz w:val="20"/>
          <w:szCs w:val="20"/>
        </w:rPr>
        <w:t xml:space="preserve"> </w:t>
      </w:r>
      <w:r w:rsidR="001E5C05">
        <w:rPr>
          <w:b/>
          <w:bCs/>
          <w:sz w:val="20"/>
          <w:szCs w:val="20"/>
        </w:rPr>
        <w:t xml:space="preserve">year, </w:t>
      </w:r>
      <w:r w:rsidR="001E5C05" w:rsidRPr="002406DF">
        <w:rPr>
          <w:b/>
          <w:bCs/>
          <w:sz w:val="20"/>
          <w:szCs w:val="20"/>
        </w:rPr>
        <w:t>North</w:t>
      </w:r>
      <w:r w:rsidRPr="002406DF">
        <w:rPr>
          <w:b/>
          <w:bCs/>
          <w:sz w:val="20"/>
          <w:szCs w:val="20"/>
        </w:rPr>
        <w:t xml:space="preserve"> Carolina 2018- 2023</w:t>
      </w:r>
    </w:p>
    <w:p w14:paraId="666E6F46" w14:textId="49F4A8DA" w:rsidR="00905D6B" w:rsidRDefault="00905D6B" w:rsidP="003778AD">
      <w:pPr>
        <w:ind w:firstLine="720"/>
      </w:pPr>
      <w:r>
        <w:rPr>
          <w:noProof/>
        </w:rPr>
        <w:lastRenderedPageBreak/>
        <w:drawing>
          <wp:inline distT="0" distB="0" distL="0" distR="0" wp14:anchorId="650EB4DA" wp14:editId="6D8CB47A">
            <wp:extent cx="6096000" cy="4572000"/>
            <wp:effectExtent l="0" t="0" r="0" b="0"/>
            <wp:docPr id="81782080" name="Picture 12" descr="Quantile Process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uantile Process Plo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44D46B2F" w14:textId="77777777" w:rsidR="00905D6B" w:rsidRDefault="00905D6B" w:rsidP="003778AD">
      <w:pPr>
        <w:ind w:firstLine="720"/>
      </w:pPr>
    </w:p>
    <w:p w14:paraId="5E25E5B6" w14:textId="2420C411" w:rsidR="00E71E7E" w:rsidRPr="00905D6B" w:rsidRDefault="00905D6B" w:rsidP="001E5C05">
      <w:r>
        <w:t>Final thought:</w:t>
      </w:r>
    </w:p>
    <w:p w14:paraId="04054416" w14:textId="078BD727" w:rsidR="00751830" w:rsidRPr="00751830" w:rsidRDefault="00905D6B" w:rsidP="0065361D">
      <w:pPr>
        <w:ind w:firstLine="720"/>
      </w:pPr>
      <w:r w:rsidRPr="006F6DD9">
        <w:rPr>
          <w:b/>
          <w:bCs/>
        </w:rPr>
        <w:t>Rural North Carolina Medicare</w:t>
      </w:r>
      <w:r w:rsidR="0065361D">
        <w:rPr>
          <w:b/>
          <w:bCs/>
        </w:rPr>
        <w:t xml:space="preserve"> Part D</w:t>
      </w:r>
      <w:r w:rsidRPr="006F6DD9">
        <w:rPr>
          <w:b/>
          <w:bCs/>
        </w:rPr>
        <w:t xml:space="preserve"> providers submit</w:t>
      </w:r>
      <w:r>
        <w:rPr>
          <w:b/>
          <w:bCs/>
        </w:rPr>
        <w:t>ted</w:t>
      </w:r>
      <w:r w:rsidRPr="006F6DD9">
        <w:rPr>
          <w:b/>
          <w:bCs/>
        </w:rPr>
        <w:t xml:space="preserve"> a significantly higher rate of </w:t>
      </w:r>
      <w:r w:rsidR="0065361D">
        <w:rPr>
          <w:b/>
          <w:bCs/>
        </w:rPr>
        <w:t xml:space="preserve">Medicare Part D </w:t>
      </w:r>
      <w:r w:rsidRPr="006F6DD9">
        <w:rPr>
          <w:b/>
          <w:bCs/>
        </w:rPr>
        <w:t>antibiotic claims per 1,000 beneficiaries when compared to their non-rural counterparts</w:t>
      </w:r>
      <w:r>
        <w:rPr>
          <w:b/>
          <w:bCs/>
        </w:rPr>
        <w:t xml:space="preserve"> when including specialty and year as predictors of claim rate from 2018-2023</w:t>
      </w:r>
      <w:r w:rsidRPr="006F6DD9">
        <w:rPr>
          <w:b/>
          <w:bCs/>
        </w:rPr>
        <w:t>.</w:t>
      </w:r>
      <w:r>
        <w:rPr>
          <w:b/>
          <w:bCs/>
        </w:rPr>
        <w:t xml:space="preserve"> We may be seeing a reduction in discrepancy</w:t>
      </w:r>
      <w:r w:rsidR="001E5C05">
        <w:rPr>
          <w:b/>
          <w:bCs/>
        </w:rPr>
        <w:t xml:space="preserve"> over time</w:t>
      </w:r>
      <w:r>
        <w:rPr>
          <w:b/>
          <w:bCs/>
        </w:rPr>
        <w:t xml:space="preserve"> in </w:t>
      </w:r>
      <w:r w:rsidR="0065361D">
        <w:rPr>
          <w:b/>
          <w:bCs/>
        </w:rPr>
        <w:t xml:space="preserve">North Carolina </w:t>
      </w:r>
      <w:r>
        <w:rPr>
          <w:b/>
          <w:bCs/>
        </w:rPr>
        <w:t xml:space="preserve">high-volume </w:t>
      </w:r>
      <w:r w:rsidR="0065361D">
        <w:rPr>
          <w:b/>
          <w:bCs/>
        </w:rPr>
        <w:t xml:space="preserve">Medicare Part D </w:t>
      </w:r>
      <w:r>
        <w:rPr>
          <w:b/>
          <w:bCs/>
        </w:rPr>
        <w:t>prescribers in rural areas as compared to providers in non-rural areas</w:t>
      </w:r>
      <w:r w:rsidR="0065361D">
        <w:rPr>
          <w:b/>
          <w:bCs/>
        </w:rPr>
        <w:t xml:space="preserve"> from 2018 - 2023</w:t>
      </w:r>
      <w:r>
        <w:rPr>
          <w:b/>
          <w:bCs/>
        </w:rPr>
        <w:t xml:space="preserve">. </w:t>
      </w:r>
    </w:p>
    <w:sectPr w:rsidR="00751830" w:rsidRPr="00751830" w:rsidSect="00841B0A">
      <w:footerReference w:type="default" r:id="rId2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4F2F0" w14:textId="77777777" w:rsidR="001C3438" w:rsidRDefault="001C3438" w:rsidP="00040A78">
      <w:pPr>
        <w:spacing w:after="0" w:line="240" w:lineRule="auto"/>
      </w:pPr>
      <w:r>
        <w:separator/>
      </w:r>
    </w:p>
  </w:endnote>
  <w:endnote w:type="continuationSeparator" w:id="0">
    <w:p w14:paraId="76D352F5" w14:textId="77777777" w:rsidR="001C3438" w:rsidRDefault="001C3438" w:rsidP="00040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lbany AMT">
    <w:panose1 w:val="020B0604020202020204"/>
    <w:charset w:val="00"/>
    <w:family w:val="swiss"/>
    <w:pitch w:val="variable"/>
    <w:sig w:usb0="00002A87" w:usb1="C0000000" w:usb2="00000008" w:usb3="00000000" w:csb0="000000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068943"/>
      <w:docPartObj>
        <w:docPartGallery w:val="Page Numbers (Bottom of Page)"/>
        <w:docPartUnique/>
      </w:docPartObj>
    </w:sdtPr>
    <w:sdtEndPr>
      <w:rPr>
        <w:noProof/>
      </w:rPr>
    </w:sdtEndPr>
    <w:sdtContent>
      <w:p w14:paraId="4D89497B" w14:textId="4C450635" w:rsidR="00040A78" w:rsidRDefault="00040A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6FC3D9" w14:textId="77777777" w:rsidR="00040A78" w:rsidRDefault="00040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9B6A" w14:textId="77777777" w:rsidR="001C3438" w:rsidRDefault="001C3438" w:rsidP="00040A78">
      <w:pPr>
        <w:spacing w:after="0" w:line="240" w:lineRule="auto"/>
      </w:pPr>
      <w:r>
        <w:separator/>
      </w:r>
    </w:p>
  </w:footnote>
  <w:footnote w:type="continuationSeparator" w:id="0">
    <w:p w14:paraId="61FED0E8" w14:textId="77777777" w:rsidR="001C3438" w:rsidRDefault="001C3438" w:rsidP="00040A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B3794"/>
    <w:multiLevelType w:val="hybridMultilevel"/>
    <w:tmpl w:val="920C7B18"/>
    <w:lvl w:ilvl="0" w:tplc="7608874A">
      <w:start w:val="20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65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A47"/>
    <w:rsid w:val="00015306"/>
    <w:rsid w:val="000246C5"/>
    <w:rsid w:val="00040A78"/>
    <w:rsid w:val="0006183B"/>
    <w:rsid w:val="000A3D22"/>
    <w:rsid w:val="000C70ED"/>
    <w:rsid w:val="000E616C"/>
    <w:rsid w:val="00110ED6"/>
    <w:rsid w:val="001145A0"/>
    <w:rsid w:val="00127CE2"/>
    <w:rsid w:val="001C3438"/>
    <w:rsid w:val="001E0B12"/>
    <w:rsid w:val="001E5C05"/>
    <w:rsid w:val="002406DF"/>
    <w:rsid w:val="002F48BF"/>
    <w:rsid w:val="00327905"/>
    <w:rsid w:val="00334DD5"/>
    <w:rsid w:val="00347074"/>
    <w:rsid w:val="00361F2B"/>
    <w:rsid w:val="0036380B"/>
    <w:rsid w:val="003778AD"/>
    <w:rsid w:val="003F38F5"/>
    <w:rsid w:val="004F1645"/>
    <w:rsid w:val="00537F57"/>
    <w:rsid w:val="005527DA"/>
    <w:rsid w:val="0059376D"/>
    <w:rsid w:val="00614120"/>
    <w:rsid w:val="0065361D"/>
    <w:rsid w:val="00653932"/>
    <w:rsid w:val="00692A47"/>
    <w:rsid w:val="006D3109"/>
    <w:rsid w:val="006E251C"/>
    <w:rsid w:val="006F3517"/>
    <w:rsid w:val="006F6DD9"/>
    <w:rsid w:val="00751830"/>
    <w:rsid w:val="00774249"/>
    <w:rsid w:val="007746F5"/>
    <w:rsid w:val="00786D19"/>
    <w:rsid w:val="007D2EE5"/>
    <w:rsid w:val="0082580E"/>
    <w:rsid w:val="00832709"/>
    <w:rsid w:val="00841B0A"/>
    <w:rsid w:val="008625FA"/>
    <w:rsid w:val="008A60CD"/>
    <w:rsid w:val="008B4FC2"/>
    <w:rsid w:val="008C4321"/>
    <w:rsid w:val="008E1289"/>
    <w:rsid w:val="00905D6B"/>
    <w:rsid w:val="00910AE5"/>
    <w:rsid w:val="00943EE3"/>
    <w:rsid w:val="00951512"/>
    <w:rsid w:val="009B2C6B"/>
    <w:rsid w:val="00A163D1"/>
    <w:rsid w:val="00A5532B"/>
    <w:rsid w:val="00A923C2"/>
    <w:rsid w:val="00AC70BC"/>
    <w:rsid w:val="00B312F2"/>
    <w:rsid w:val="00B4098F"/>
    <w:rsid w:val="00BA2311"/>
    <w:rsid w:val="00BC0E30"/>
    <w:rsid w:val="00C0671A"/>
    <w:rsid w:val="00C33614"/>
    <w:rsid w:val="00CB49A0"/>
    <w:rsid w:val="00CC17EB"/>
    <w:rsid w:val="00D6687F"/>
    <w:rsid w:val="00D76FEC"/>
    <w:rsid w:val="00E149D9"/>
    <w:rsid w:val="00E432E5"/>
    <w:rsid w:val="00E71E7E"/>
    <w:rsid w:val="00F03B87"/>
    <w:rsid w:val="00F0507A"/>
    <w:rsid w:val="00FE3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291B"/>
  <w15:chartTrackingRefBased/>
  <w15:docId w15:val="{77AB058F-E68A-49CF-87D2-CD9D40F30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A47"/>
    <w:rPr>
      <w:rFonts w:eastAsiaTheme="majorEastAsia" w:cstheme="majorBidi"/>
      <w:color w:val="272727" w:themeColor="text1" w:themeTint="D8"/>
    </w:rPr>
  </w:style>
  <w:style w:type="paragraph" w:styleId="Title">
    <w:name w:val="Title"/>
    <w:basedOn w:val="Normal"/>
    <w:next w:val="Normal"/>
    <w:link w:val="TitleChar"/>
    <w:uiPriority w:val="10"/>
    <w:qFormat/>
    <w:rsid w:val="00692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A47"/>
    <w:pPr>
      <w:spacing w:before="160"/>
      <w:jc w:val="center"/>
    </w:pPr>
    <w:rPr>
      <w:i/>
      <w:iCs/>
      <w:color w:val="404040" w:themeColor="text1" w:themeTint="BF"/>
    </w:rPr>
  </w:style>
  <w:style w:type="character" w:customStyle="1" w:styleId="QuoteChar">
    <w:name w:val="Quote Char"/>
    <w:basedOn w:val="DefaultParagraphFont"/>
    <w:link w:val="Quote"/>
    <w:uiPriority w:val="29"/>
    <w:rsid w:val="00692A47"/>
    <w:rPr>
      <w:i/>
      <w:iCs/>
      <w:color w:val="404040" w:themeColor="text1" w:themeTint="BF"/>
    </w:rPr>
  </w:style>
  <w:style w:type="paragraph" w:styleId="ListParagraph">
    <w:name w:val="List Paragraph"/>
    <w:basedOn w:val="Normal"/>
    <w:uiPriority w:val="34"/>
    <w:qFormat/>
    <w:rsid w:val="00692A47"/>
    <w:pPr>
      <w:ind w:left="720"/>
      <w:contextualSpacing/>
    </w:pPr>
  </w:style>
  <w:style w:type="character" w:styleId="IntenseEmphasis">
    <w:name w:val="Intense Emphasis"/>
    <w:basedOn w:val="DefaultParagraphFont"/>
    <w:uiPriority w:val="21"/>
    <w:qFormat/>
    <w:rsid w:val="00692A47"/>
    <w:rPr>
      <w:i/>
      <w:iCs/>
      <w:color w:val="0F4761" w:themeColor="accent1" w:themeShade="BF"/>
    </w:rPr>
  </w:style>
  <w:style w:type="paragraph" w:styleId="IntenseQuote">
    <w:name w:val="Intense Quote"/>
    <w:basedOn w:val="Normal"/>
    <w:next w:val="Normal"/>
    <w:link w:val="IntenseQuoteChar"/>
    <w:uiPriority w:val="30"/>
    <w:qFormat/>
    <w:rsid w:val="00692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A47"/>
    <w:rPr>
      <w:i/>
      <w:iCs/>
      <w:color w:val="0F4761" w:themeColor="accent1" w:themeShade="BF"/>
    </w:rPr>
  </w:style>
  <w:style w:type="character" w:styleId="IntenseReference">
    <w:name w:val="Intense Reference"/>
    <w:basedOn w:val="DefaultParagraphFont"/>
    <w:uiPriority w:val="32"/>
    <w:qFormat/>
    <w:rsid w:val="00692A47"/>
    <w:rPr>
      <w:b/>
      <w:bCs/>
      <w:smallCaps/>
      <w:color w:val="0F4761" w:themeColor="accent1" w:themeShade="BF"/>
      <w:spacing w:val="5"/>
    </w:rPr>
  </w:style>
  <w:style w:type="character" w:styleId="Hyperlink">
    <w:name w:val="Hyperlink"/>
    <w:basedOn w:val="DefaultParagraphFont"/>
    <w:uiPriority w:val="99"/>
    <w:unhideWhenUsed/>
    <w:rsid w:val="00841B0A"/>
    <w:rPr>
      <w:color w:val="467886" w:themeColor="hyperlink"/>
      <w:u w:val="single"/>
    </w:rPr>
  </w:style>
  <w:style w:type="character" w:styleId="UnresolvedMention">
    <w:name w:val="Unresolved Mention"/>
    <w:basedOn w:val="DefaultParagraphFont"/>
    <w:uiPriority w:val="99"/>
    <w:semiHidden/>
    <w:unhideWhenUsed/>
    <w:rsid w:val="00841B0A"/>
    <w:rPr>
      <w:color w:val="605E5C"/>
      <w:shd w:val="clear" w:color="auto" w:fill="E1DFDD"/>
    </w:rPr>
  </w:style>
  <w:style w:type="paragraph" w:styleId="Header">
    <w:name w:val="header"/>
    <w:basedOn w:val="Normal"/>
    <w:link w:val="HeaderChar"/>
    <w:uiPriority w:val="99"/>
    <w:unhideWhenUsed/>
    <w:rsid w:val="00040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A78"/>
  </w:style>
  <w:style w:type="paragraph" w:styleId="Footer">
    <w:name w:val="footer"/>
    <w:basedOn w:val="Normal"/>
    <w:link w:val="FooterChar"/>
    <w:uiPriority w:val="99"/>
    <w:unhideWhenUsed/>
    <w:rsid w:val="00040A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A78"/>
  </w:style>
  <w:style w:type="character" w:styleId="FollowedHyperlink">
    <w:name w:val="FollowedHyperlink"/>
    <w:basedOn w:val="DefaultParagraphFont"/>
    <w:uiPriority w:val="99"/>
    <w:semiHidden/>
    <w:unhideWhenUsed/>
    <w:rsid w:val="008B4F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nlinelibrary.wiley.com/doi/epdf/10.1111/jrh.12584" TargetMode="External"/><Relationship Id="rId18" Type="http://schemas.openxmlformats.org/officeDocument/2006/relationships/hyperlink" Target="https://www.cdc.gov/healthcare-associated-infections/programs/index.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cdc.gov/mmwr/volumes/71/wr/pdfs/mm7106a3-H.pdf" TargetMode="External"/><Relationship Id="rId12" Type="http://schemas.openxmlformats.org/officeDocument/2006/relationships/image" Target="media/image5.png"/><Relationship Id="rId17" Type="http://schemas.openxmlformats.org/officeDocument/2006/relationships/hyperlink" Target="https://governor.nc.gov/governor-stein-proclaims-antibiotic-awareness-wee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dc.gov/antimicrobial-resistance/media/pdfs/antimicrobial-resistance-threats-update-2022-508.pdf"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cdc.gov/antimicrobial-resistance/media/pdfs/2019-ar-threats-report-508.pdf?CDC_AAref_Val=https://www.cdc.gov/drugresistance/pdf/threats-report/2019-ar-threats-report-508.pdf" TargetMode="External"/><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dc.gov/mmwr/volumes/71/wr/pdfs/mm7106a3-H.pdf"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11</Pages>
  <Words>2129</Words>
  <Characters>12204</Characters>
  <Application>Microsoft Office Word</Application>
  <DocSecurity>0</DocSecurity>
  <Lines>2034</Lines>
  <Paragraphs>1791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Hoskins, mikhail</dc:creator>
  <cp:keywords/>
  <dc:description/>
  <cp:lastModifiedBy>Hoskins, mikhail</cp:lastModifiedBy>
  <cp:revision>21</cp:revision>
  <cp:lastPrinted>2025-11-07T17:51:00Z</cp:lastPrinted>
  <dcterms:created xsi:type="dcterms:W3CDTF">2025-11-05T21:03:00Z</dcterms:created>
  <dcterms:modified xsi:type="dcterms:W3CDTF">2026-01-29T18:56:00Z</dcterms:modified>
</cp:coreProperties>
</file>