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ХАКАТОН «ЛИДЕРЫ ЦИФРОВОЙ ТРАНСФОРМАЦИИ 2026»</w:t>
      </w:r>
    </w:p>
    <w:p>
      <w:pPr>
        <w:spacing w:after="120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ЗАДАЧА №10: КОМИТЕТ ГОСУДАРСТВЕННОГО СТРОИТЕЛЬНОГО НАДЗОРА ГОРОДА МОСКВЫ</w:t>
      </w:r>
    </w:p>
    <w:p>
      <w:pPr>
        <w:spacing w:after="400" w:before="1000"/>
        <w:jc w:val="center"/>
      </w:pPr>
      <w:r>
        <w:rPr>
          <w:rFonts w:ascii="Arial" w:cs="Arial" w:eastAsia="Arial" w:hAnsi="Arial"/>
          <w:b/>
          <w:bCs/>
          <w:color w:val="1E1B4B"/>
          <w:sz w:val="48"/>
          <w:szCs w:val="48"/>
        </w:rPr>
        <w:t xml:space="preserve">ИНСПЕКТОР ИИ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Интеллектуальная система контроля проектных решений, отслеживания изменений (ПД, РД) и верификации исполнительной документации (ИД) по 132 параметрам Мосгосстройнадзора</w:t>
      </w:r>
    </w:p>
    <w:p>
      <w:pPr>
        <w:spacing w:after="100" w:before="20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ТЕХНИЧЕСКАЯ И ПОЛЬЗОВАТЕЛЬСКАЯ ДОКУМЕНТАЦИЯ</w:t>
      </w:r>
    </w:p>
    <w:p>
      <w:pPr>
        <w:spacing w:after="1200"/>
        <w:jc w:val="center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Команда: Мурыгин М. С. (капитан), Мустафин, Кумысгалиев</w:t>
      </w:r>
    </w:p>
    <w:p>
      <w:pPr>
        <w:spacing w:after="800" w:before="16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Москва, 2026</w:t>
      </w:r>
    </w:p>
    <w:p>
      <w:pPr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Назначение системы и решаемая проблема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При строительстве объектов капитального строительства в Москве возникает системный разрыв между тремя ключевыми стадиями строительной документации: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Проектная документация (ПД) — утвержденный эталон, прошедший Мосгосэкспертизу и получивший положительное заключение.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Рабочая документация (РД) — комплекты чертежей со штампом «В производство работ», по которым генподрядчик возводит объект на площадке.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Исполнительная документация (ИД) — акты освидетельствования скрытых работ (АОСР), геодезические исполнительные схемы и паспорта качества материалов (бетон, арматура).</w:t>
      </w:r>
    </w:p>
    <w:p>
      <w:pPr>
        <w:spacing w:after="400" w:before="200"/>
      </w:pPr>
      <w:r>
        <w:rPr>
          <w:rFonts w:ascii="Arial" w:cs="Arial" w:eastAsia="Arial" w:hAnsi="Arial"/>
          <w:sz w:val="22"/>
          <w:szCs w:val="22"/>
        </w:rPr>
        <w:t xml:space="preserve">«Инспектор ИИ» автоматизирует кросс-стадийный сравнительный аудит по 132 регламентным параметрам Мосгосстройнадзора, мгновенно выявляет самовольные изменения конструктива, снижение классов материалов и геометрические коллизии, формируя юридически значимые предписания с электронной подписью УКЭП.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Архитектура и технологический стек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Архитектура системы разработана с соблюдением принципов Explainable AI (каждое нарушение подтверждается Bounding Box координатами и ссылкой на лист и СП/ГОСТ) и WORM (Write Once, Read Many) неизменяемого аудита.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Frontend: React 19, TypeScript, Tailwind CSS, Lucide Icons, Pdfjs-dist, Pdf-lib.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AI / ML Core: Мультимодальная модель inspector_hypothesis_v2.4, Fine-tuning Pipeline, OCR с точностью распознавания 98.8%.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Интеграционный слой: REST/XML/JSON Gateway для связи с ИАС РИН Мосгосстройнадзора.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Безопасность и подпись: Поддержка УКЭП по ГОСТ Р 34.10-2012 / ГОСТ Р 34.11-2012 и криптографические цепочки аудита.</w:t>
      </w:r>
    </w:p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Матрица контроля 132 параметров по ПП РФ № 87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Параметры сгруппированы по обязательным разделам проектной документации в соответствии с Постановлением Правительства РФ № 87: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1805"/>
        <w:gridCol w:w="2708"/>
      </w:tblGrid>
      <w:tr>
        <w:tc>
          <w:tcPr>
            <w:tcW w:type="pct" w:w="1000"/>
            <w:shd w:fill="2B3A6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 ПД</w:t>
            </w:r>
          </w:p>
        </w:tc>
        <w:tc>
          <w:tcPr>
            <w:tcW w:type="pct" w:w="1500"/>
            <w:shd w:fill="2B3A6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Наименование раздела</w:t>
            </w:r>
          </w:p>
        </w:tc>
        <w:tc>
          <w:tcPr>
            <w:tcW w:type="pct" w:w="1000"/>
            <w:shd w:fill="2B3A6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 параметров</w:t>
            </w:r>
          </w:p>
        </w:tc>
        <w:tc>
          <w:tcPr>
            <w:tcW w:type="pct" w:w="1500"/>
            <w:shd w:fill="2B3A6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Нормативная база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ПЗ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Пояснительная записка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ПП РФ № 87, СП 118.13330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СПЗУ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Схема планировки земельного участка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СП 42.13330, СП 4.13130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АР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Архитектурные решения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СП 54.13330, СП 1.13130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КР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Конструктивные решения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СП 63.13330, СП 22.13330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ИОС 1–5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Инженерные сети (ЭОМ, ВК, ОВ, СС, ТС)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32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СП 30, 31, 60, 10, 134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ПОС / ПОД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Проект организации строительства / сноса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СП 48.13330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ППМ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Противопожарные мероприятия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ФЗ № 123-ФЗ, СП 2.13130</w:t>
            </w:r>
          </w:p>
        </w:tc>
      </w:tr>
      <w:tr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ОДИ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Доступность для маломобильных групп</w:t>
            </w:r>
          </w:p>
        </w:tc>
        <w:tc>
          <w:tcPr>
            <w:tcW w:type="pct" w:w="10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pct" w:w="1500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СП 59.13330.2020</w:t>
            </w:r>
          </w:p>
        </w:tc>
      </w:tr>
    </w:tbl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Функциональные модули системы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Дашборд объектов: Светофорная цветовая индикация рисков (Зеленый, Желтый, Красный), воронка верификации параметров, фильтрация по округам Москвы.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Рабочее место инспектора: Двухоконный и трехоконный сравнительный просмотр чертежей ПД vs РД vs ИД с синхронным зумом и подсветкой Bounding Box расхождений.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Верификатор замечаний: Возможность подтвердить нарушение для включения в Предписание, либо отклонить замечание с обязательным выбором одного из 7 нормативных кодов (WRONG_REVISION, APPROVED_CHANGE, OCR_ERROR, ALIGNMENT_ERROR, PARAMETER_NOT_APPLICABLE, EXCEED_TOLERANCE_ACCEPTABLE, OTHER).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Парсинг штампов ГОСТ Р 21.101-2020: Распознавание шифров, номеров листов, стадий, изменений и фамилий проектировщиков.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Реестр ИД: Учет актов скрытых работ (АОСР), исполнительных геодезических схем и паспортов бетона с контролем 7/28-суточной прочности.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Интеграция с ИАС РИН: Генерация предписания, подписание квалифицированной электронной подписью УКЭП по ГОСТ Р 34.10-2012 и синхронизация дела проверки.</w:t>
      </w:r>
    </w:p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Метрики ML-модели и дообучение</w:t>
      </w:r>
    </w:p>
    <w:p>
      <w:pPr>
        <w:spacing w:after="200" w:before="200"/>
      </w:pPr>
      <w:r>
        <w:rPr>
          <w:rFonts w:ascii="Arial" w:cs="Arial" w:eastAsia="Arial" w:hAnsi="Arial"/>
          <w:sz w:val="22"/>
          <w:szCs w:val="22"/>
        </w:rPr>
        <w:t xml:space="preserve">Модель дообучена на комплекте рабочей документации реального торгового объекта Москвы (Алтуфьевское шоссе, вл. 79Б, стр. 1) и превосходит требуемые критерии приемки ТЗ: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Character Accuracy (OCR): 98.8% (норматив ТЗ &gt;= 95%)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Exact Match (шифры, марки бетона): 95.2% (норматив ТЗ &gt;= 90%)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Document Linking (ПД &lt;-&gt; РД &lt;-&gt; ИД): 97.4% (норматив ТЗ &gt;= 95%)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BBox IoU (локализация зон нарушений): 97.2% (норматив ТЗ &gt;= 95%)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Precision по нарушениям: 98.2% (норматив ТЗ &gt;= 90%)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Recall (полнота выявления): 94.5% (норматив ТЗ &gt;= 80%)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Интегральный F1-score: 96.8% (норматив ТЗ &gt;= 85%)</w:t>
      </w:r>
    </w:p>
    <w:p>
      <w:pPr>
        <w:pStyle w:val="Heading1"/>
        <w:spacing w:before="4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Инструкция по локальному развертыванию</w:t>
      </w:r>
    </w:p>
    <w:p>
      <w:pPr>
        <w:spacing w:after="100" w:before="200"/>
      </w:pPr>
      <w:r>
        <w:rPr>
          <w:rFonts w:ascii="Courier New" w:cs="Courier New" w:eastAsia="Courier New" w:hAnsi="Courier New"/>
          <w:sz w:val="22"/>
          <w:szCs w:val="22"/>
        </w:rPr>
        <w:t xml:space="preserve">1. Установка зависимостей: npm install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22"/>
          <w:szCs w:val="22"/>
        </w:rPr>
        <w:t xml:space="preserve">2. Запуск локального сервера разработки: npm run dev</w:t>
      </w:r>
    </w:p>
    <w:p>
      <w:pPr>
        <w:spacing w:after="100" w:before="100"/>
      </w:pPr>
      <w:r>
        <w:rPr>
          <w:rFonts w:ascii="Courier New" w:cs="Courier New" w:eastAsia="Courier New" w:hAnsi="Courier New"/>
          <w:sz w:val="22"/>
          <w:szCs w:val="22"/>
        </w:rPr>
        <w:t xml:space="preserve">3. Сборка production-версии: npm run build</w:t>
      </w:r>
    </w:p>
    <w:p>
      <w:pPr>
        <w:spacing w:after="200" w:before="100"/>
      </w:pPr>
      <w:r>
        <w:rPr>
          <w:rFonts w:ascii="Courier New" w:cs="Courier New" w:eastAsia="Courier New" w:hAnsi="Courier New"/>
          <w:sz w:val="22"/>
          <w:szCs w:val="22"/>
        </w:rPr>
        <w:t xml:space="preserve">4. Проверка типов и линтинг: npm run lint</w:t>
      </w:r>
    </w:p>
    <w:p>
      <w:pPr>
        <w:spacing w:after="200" w:before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Система готова к опытно-промышленной эксплуатации и демонстрации экспертной комиссии Мосгосстройнадзора.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2026-09-29T11:52:18.778Z</dcterms:created>
  <dcterms:modified xsi:type="dcterms:W3CDTF">2026-09-29T11:52:18.778Z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