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084A" w14:textId="5B699CBC" w:rsidR="00B90F98" w:rsidRDefault="00B90F98">
      <w:r>
        <w:t>25DIT059</w:t>
      </w:r>
    </w:p>
    <w:p w14:paraId="311D2416" w14:textId="15A2C667" w:rsidR="00B90F98" w:rsidRDefault="00B90F98">
      <w:r>
        <w:t>PRACTICAL CIE-WDF</w:t>
      </w:r>
    </w:p>
    <w:p w14:paraId="059FA529" w14:textId="634CC303" w:rsidR="00B90F98" w:rsidRDefault="00B90F98">
      <w:r>
        <w:t>SET-A</w:t>
      </w:r>
    </w:p>
    <w:p w14:paraId="0B60726B" w14:textId="20FC3720" w:rsidR="00B90F98" w:rsidRDefault="00B90F98">
      <w:r>
        <w:t>OUTPUT:</w:t>
      </w:r>
    </w:p>
    <w:p w14:paraId="2CCB4A69" w14:textId="6F7F165E" w:rsidR="00B90F98" w:rsidRDefault="00B90F98">
      <w:r w:rsidRPr="00B90F98">
        <w:drawing>
          <wp:inline distT="0" distB="0" distL="0" distR="0" wp14:anchorId="798A03A3" wp14:editId="6A86EC64">
            <wp:extent cx="5731510" cy="3033395"/>
            <wp:effectExtent l="0" t="0" r="2540" b="0"/>
            <wp:docPr id="19034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2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3FD7" w14:textId="42045739" w:rsidR="00B90F98" w:rsidRDefault="00B90F98">
      <w:r w:rsidRPr="00B90F98">
        <w:drawing>
          <wp:inline distT="0" distB="0" distL="0" distR="0" wp14:anchorId="3B93023E" wp14:editId="63A6C252">
            <wp:extent cx="5731510" cy="3011805"/>
            <wp:effectExtent l="0" t="0" r="2540" b="0"/>
            <wp:docPr id="151426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6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98"/>
    <w:rsid w:val="009B5F8F"/>
    <w:rsid w:val="00B90F98"/>
    <w:rsid w:val="00BA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2EFD"/>
  <w15:chartTrackingRefBased/>
  <w15:docId w15:val="{14D83473-242C-4E91-9151-1CAF82B6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2</cp:revision>
  <cp:lastPrinted>2026-08-26T10:34:00Z</cp:lastPrinted>
  <dcterms:created xsi:type="dcterms:W3CDTF">2026-08-26T10:29:00Z</dcterms:created>
  <dcterms:modified xsi:type="dcterms:W3CDTF">2026-08-26T10:34:00Z</dcterms:modified>
</cp:coreProperties>
</file>