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5090"/>
          <w:sz w:val="52"/>
          <w:szCs w:val="52"/>
        </w:rPr>
        <w:t xml:space="preserve">PROJECT ALEXANDRIA</w:t>
      </w:r>
    </w:p>
    <w:p>
      <w:pPr>
        <w:spacing w:after="100"/>
        <w:jc w:val="center"/>
      </w:pPr>
      <w:r>
        <w:rPr>
          <w:rFonts w:ascii="Arial" w:cs="Arial" w:eastAsia="Arial" w:hAnsi="Arial"/>
          <w:color w:val="666666"/>
          <w:sz w:val="32"/>
          <w:szCs w:val="32"/>
        </w:rPr>
        <w:t xml:space="preserve">Vault Analysis Report</w:t>
      </w:r>
    </w:p>
    <w:p>
      <w:pPr>
        <w:pBdr>
          <w:bottom w:val="single" w:color="2E5090" w:sz="4" w:space="12"/>
        </w:pBdr>
        <w:spacing w:after="600"/>
        <w:jc w:val="center"/>
      </w:pPr>
      <w:r>
        <w:rPr>
          <w:rFonts w:ascii="Arial" w:cs="Arial" w:eastAsia="Arial" w:hAnsi="Arial"/>
          <w:i/>
          <w:iCs/>
          <w:color w:val="888888"/>
          <w:sz w:val="24"/>
          <w:szCs w:val="24"/>
        </w:rPr>
        <w:t xml:space="preserve">Scope, Formatting, Content &amp; Wording</w:t>
      </w:r>
    </w:p>
    <w:p>
      <w:pPr>
        <w:spacing w:before="800"/>
      </w:pPr>
    </w:p>
    <w:p>
      <w:pPr>
        <w:jc w:val="center"/>
      </w:pPr>
      <w:r>
        <w:rPr>
          <w:rFonts w:ascii="Arial" w:cs="Arial" w:eastAsia="Arial" w:hAnsi="Arial"/>
          <w:color w:val="444444"/>
          <w:sz w:val="24"/>
          <w:szCs w:val="24"/>
        </w:rPr>
        <w:t xml:space="preserve">Prepared for Mihail Dimitrov</w:t>
      </w:r>
    </w:p>
    <w:p>
      <w:pPr>
        <w:spacing w:after="100"/>
        <w:jc w:val="center"/>
      </w:pPr>
      <w:r>
        <w:rPr>
          <w:rFonts w:ascii="Arial" w:cs="Arial" w:eastAsia="Arial" w:hAnsi="Arial"/>
          <w:color w:val="666666"/>
          <w:sz w:val="22"/>
          <w:szCs w:val="22"/>
        </w:rPr>
        <w:t xml:space="preserve">UC Berkeley</w:t>
      </w:r>
    </w:p>
    <w:p>
      <w:pPr>
        <w:jc w:val="center"/>
      </w:pPr>
      <w:r>
        <w:rPr>
          <w:rFonts w:ascii="Arial" w:cs="Arial" w:eastAsia="Arial" w:hAnsi="Arial"/>
          <w:color w:val="666666"/>
          <w:sz w:val="22"/>
          <w:szCs w:val="22"/>
        </w:rPr>
        <w:t xml:space="preserve">April 6, 2026</w:t>
      </w:r>
    </w:p>
    <w:p>
      <w:pPr>
        <w:sectPr>
          <w:pgSz w:w="12240" w:h="15840" w:orient="portrait"/>
          <w:pgMar w:top="1440" w:right="1440" w:bottom="1440" w:left="1440" w:header="708" w:footer="708" w:gutter="0"/>
          <w:pgNumType/>
          <w:docGrid w:linePitch="360"/>
        </w:sectPr>
      </w:pPr>
    </w:p>
    <w:p>
      <w:pPr>
        <w:pStyle w:val="Heading1"/>
        <w:spacing w:after="150" w:before="300"/>
      </w:pPr>
      <w:r>
        <w:t xml:space="preserve">Executive Summary</w:t>
      </w:r>
    </w:p>
    <w:p>
      <w:pPr>
        <w:spacing w:after="120" w:line="276"/>
      </w:pPr>
      <w:r>
        <w:rPr>
          <w:rFonts w:ascii="Arial" w:cs="Arial" w:eastAsia="Arial" w:hAnsi="Arial"/>
          <w:sz w:val="22"/>
          <w:szCs w:val="22"/>
        </w:rPr>
        <w:t xml:space="preserve">Project Alexandria is an Obsidian-based knowledge vault containing </w:t>
      </w:r>
      <w:r>
        <w:rPr>
          <w:rFonts w:ascii="Arial" w:cs="Arial" w:eastAsia="Arial" w:hAnsi="Arial"/>
          <w:b/>
          <w:bCs/>
          <w:sz w:val="22"/>
          <w:szCs w:val="22"/>
        </w:rPr>
        <w:t xml:space="preserve">~1,200 markdown notes</w:t>
      </w:r>
      <w:r>
        <w:rPr>
          <w:rFonts w:ascii="Arial" w:cs="Arial" w:eastAsia="Arial" w:hAnsi="Arial"/>
          <w:sz w:val="22"/>
          <w:szCs w:val="22"/>
        </w:rPr>
        <w:t xml:space="preserve"> across </w:t>
      </w:r>
      <w:r>
        <w:rPr>
          <w:rFonts w:ascii="Arial" w:cs="Arial" w:eastAsia="Arial" w:hAnsi="Arial"/>
          <w:b/>
          <w:bCs/>
          <w:sz w:val="22"/>
          <w:szCs w:val="22"/>
        </w:rPr>
        <w:t xml:space="preserve">6 academic domains</w:t>
      </w:r>
      <w:r>
        <w:rPr>
          <w:rFonts w:ascii="Arial" w:cs="Arial" w:eastAsia="Arial" w:hAnsi="Arial"/>
          <w:sz w:val="22"/>
          <w:szCs w:val="22"/>
        </w:rPr>
        <w:t xml:space="preserve">, spanning UC Berkeley coursework in Computer Science, Mathematics, Statistics, Economics, Electrical Engineering, and Physics. The vault totals approximately 99 MB including configuration files, version history, and media assets.</w:t>
      </w:r>
    </w:p>
    <w:p>
      <w:pPr>
        <w:spacing w:after="120" w:line="276"/>
      </w:pPr>
      <w:r>
        <w:rPr>
          <w:rFonts w:ascii="Arial" w:cs="Arial" w:eastAsia="Arial" w:hAnsi="Arial"/>
          <w:sz w:val="22"/>
          <w:szCs w:val="22"/>
        </w:rPr>
        <w:t xml:space="preserve">This report presents a comprehensive audit of the vault’s scope, structural organization, formatting consistency, content quality, writing style, and cross-linking patterns. The analysis is based on a representative sample of 40+ notes drawn from every subject domain, supplemented by vault-wide statistical searches.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8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 markdown files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~1,196</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Subject domains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Deepest folder nesting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5–6 levels</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Files with wiki-links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~265 (22%)</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Orphan notes (never linked to)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~74.5%</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Empty / stub files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~357 (30%)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Files with YAML frontmatter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~159 (13%)</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Files with tags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&lt;1%</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Embedded images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~21 files (1.8%)</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Obsidian plugins installed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w:t>
            </w:r>
          </w:p>
        </w:tc>
      </w:tr>
    </w:tbl>
    <w:p>
      <w:pPr>
        <w:spacing w:after="200"/>
      </w:pPr>
    </w:p>
    <w:p>
      <w:pPr>
        <w:spacing w:after="120" w:line="276"/>
      </w:pPr>
      <w:r>
        <w:rPr>
          <w:rFonts w:ascii="Arial" w:cs="Arial" w:eastAsia="Arial" w:hAnsi="Arial"/>
          <w:sz w:val="22"/>
          <w:szCs w:val="22"/>
        </w:rPr>
        <w:t xml:space="preserve">The vault’s greatest strengths are its </w:t>
      </w:r>
      <w:r>
        <w:rPr>
          <w:rFonts w:ascii="Arial" w:cs="Arial" w:eastAsia="Arial" w:hAnsi="Arial"/>
          <w:b/>
          <w:bCs/>
          <w:sz w:val="22"/>
          <w:szCs w:val="22"/>
        </w:rPr>
        <w:t xml:space="preserve">rigorous hierarchical organization</w:t>
      </w:r>
      <w:r>
        <w:rPr>
          <w:rFonts w:ascii="Arial" w:cs="Arial" w:eastAsia="Arial" w:hAnsi="Arial"/>
          <w:sz w:val="22"/>
          <w:szCs w:val="22"/>
        </w:rPr>
        <w:t xml:space="preserve"> and </w:t>
      </w:r>
      <w:r>
        <w:rPr>
          <w:rFonts w:ascii="Arial" w:cs="Arial" w:eastAsia="Arial" w:hAnsi="Arial"/>
          <w:b/>
          <w:bCs/>
          <w:sz w:val="22"/>
          <w:szCs w:val="22"/>
        </w:rPr>
        <w:t xml:space="preserve">consistent note formatting template</w:t>
      </w:r>
      <w:r>
        <w:rPr>
          <w:rFonts w:ascii="Arial" w:cs="Arial" w:eastAsia="Arial" w:hAnsi="Arial"/>
          <w:sz w:val="22"/>
          <w:szCs w:val="22"/>
        </w:rPr>
        <w:t xml:space="preserve">. The most significant opportunities for improvement lie in </w:t>
      </w:r>
      <w:r>
        <w:rPr>
          <w:rFonts w:ascii="Arial" w:cs="Arial" w:eastAsia="Arial" w:hAnsi="Arial"/>
          <w:b/>
          <w:bCs/>
          <w:sz w:val="22"/>
          <w:szCs w:val="22"/>
        </w:rPr>
        <w:t xml:space="preserve">cross-linking density</w:t>
      </w:r>
      <w:r>
        <w:rPr>
          <w:rFonts w:ascii="Arial" w:cs="Arial" w:eastAsia="Arial" w:hAnsi="Arial"/>
          <w:sz w:val="22"/>
          <w:szCs w:val="22"/>
        </w:rPr>
        <w:t xml:space="preserve">, </w:t>
      </w:r>
      <w:r>
        <w:rPr>
          <w:rFonts w:ascii="Arial" w:cs="Arial" w:eastAsia="Arial" w:hAnsi="Arial"/>
          <w:b/>
          <w:bCs/>
          <w:sz w:val="22"/>
          <w:szCs w:val="22"/>
        </w:rPr>
        <w:t xml:space="preserve">stub file completion</w:t>
      </w:r>
      <w:r>
        <w:rPr>
          <w:rFonts w:ascii="Arial" w:cs="Arial" w:eastAsia="Arial" w:hAnsi="Arial"/>
          <w:sz w:val="22"/>
          <w:szCs w:val="22"/>
        </w:rPr>
        <w:t xml:space="preserve">, and </w:t>
      </w:r>
      <w:r>
        <w:rPr>
          <w:rFonts w:ascii="Arial" w:cs="Arial" w:eastAsia="Arial" w:hAnsi="Arial"/>
          <w:b/>
          <w:bCs/>
          <w:sz w:val="22"/>
          <w:szCs w:val="22"/>
        </w:rPr>
        <w:t xml:space="preserve">metadata adoption</w:t>
      </w:r>
      <w:r>
        <w:rPr>
          <w:rFonts w:ascii="Arial" w:cs="Arial" w:eastAsia="Arial" w:hAnsi="Arial"/>
          <w:sz w:val="22"/>
          <w:szCs w:val="22"/>
        </w:rPr>
        <w:t xml:space="preserve">.</w:t>
      </w:r>
    </w:p>
    <w:p>
      <w:r>
        <w:br w:type="page"/>
      </w:r>
    </w:p>
    <w:p>
      <w:pPr>
        <w:pStyle w:val="Heading1"/>
        <w:spacing w:after="150" w:before="300"/>
      </w:pPr>
      <w:r>
        <w:t xml:space="preserve">1. Scope &amp; Coverage</w:t>
      </w:r>
    </w:p>
    <w:p>
      <w:pPr>
        <w:spacing w:after="120" w:line="276"/>
      </w:pPr>
      <w:r>
        <w:rPr>
          <w:rFonts w:ascii="Arial" w:cs="Arial" w:eastAsia="Arial" w:hAnsi="Arial"/>
          <w:sz w:val="22"/>
          <w:szCs w:val="22"/>
        </w:rPr>
        <w:t xml:space="preserve">The vault covers six major STEM disciplines with varying depth. Computer Science and Mathematics together account for over half the content, reflecting their centrality to the curriculum.</w:t>
      </w:r>
    </w:p>
    <w:p>
      <w:pPr>
        <w:pStyle w:val="Heading2"/>
        <w:spacing w:after="150" w:before="300"/>
      </w:pPr>
      <w:r>
        <w:t xml:space="preserve">Subject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Files</w:t>
            </w:r>
          </w:p>
        </w:tc>
        <w:tc>
          <w:tcPr>
            <w:tcW w:type="dxa" w:w="4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Major Subsections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Computer Science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357</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DSA, Architecture, AI, ML, Deep Learning, CV, NLP, Robotics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Mathematics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312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Discrete Math, Probability, Game Theory, Info Theory, LinAlg, MVC, Analysis, Topology, Optimization, Complex Analysis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Electrical Engineering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119</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Circuits, Signals &amp; Systems, Robotics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Economics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Finance, Money, Markets, International Econ, Public Policy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Physics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Classical Mechanics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Statistics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Statistical Inference, Time Series, Bayesian Statistics</w:t>
            </w:r>
          </w:p>
        </w:tc>
      </w:tr>
    </w:tbl>
    <w:p>
      <w:pPr>
        <w:spacing w:after="120"/>
      </w:pPr>
    </w:p>
    <w:p>
      <w:pPr>
        <w:pStyle w:val="Heading2"/>
        <w:spacing w:after="150" w:before="300"/>
      </w:pPr>
      <w:r>
        <w:t xml:space="preserve">Coverage Gaps &amp; Imbalances</w:t>
      </w:r>
    </w:p>
    <w:p>
      <w:pPr>
        <w:spacing w:after="120" w:line="276"/>
      </w:pPr>
      <w:r>
        <w:rPr>
          <w:rFonts w:ascii="Arial" w:cs="Arial" w:eastAsia="Arial" w:hAnsi="Arial"/>
          <w:sz w:val="22"/>
          <w:szCs w:val="22"/>
        </w:rPr>
        <w:t xml:space="preserve">Several patterns of uneven coverage are worth noting:</w:t>
      </w:r>
    </w:p>
    <w:p>
      <w:pPr>
        <w:pStyle w:val="ListParagraph"/>
        <w:numPr>
          <w:ilvl w:val="0"/>
          <w:numId w:val="2"/>
        </w:numPr>
        <w:spacing w:after="60" w:line="276"/>
      </w:pPr>
      <w:r>
        <w:rPr>
          <w:rFonts w:ascii="Arial" w:cs="Arial" w:eastAsia="Arial" w:hAnsi="Arial"/>
          <w:b/>
          <w:bCs/>
          <w:sz w:val="22"/>
          <w:szCs w:val="22"/>
        </w:rPr>
        <w:t xml:space="preserve">Deep Learning is heavily stubbed. </w:t>
      </w:r>
      <w:r>
        <w:rPr>
          <w:rFonts w:ascii="Arial" w:cs="Arial" w:eastAsia="Arial" w:hAnsi="Arial"/>
          <w:sz w:val="22"/>
          <w:szCs w:val="22"/>
        </w:rPr>
        <w:t xml:space="preserve">Many core topic files (Transformers, GANs, SIFT, Support Vector Machines) are empty placeholders with no content.</w:t>
      </w:r>
    </w:p>
    <w:p>
      <w:pPr>
        <w:pStyle w:val="ListParagraph"/>
        <w:numPr>
          <w:ilvl w:val="0"/>
          <w:numId w:val="2"/>
        </w:numPr>
        <w:spacing w:after="60" w:line="276"/>
      </w:pPr>
      <w:r>
        <w:rPr>
          <w:rFonts w:ascii="Arial" w:cs="Arial" w:eastAsia="Arial" w:hAnsi="Arial"/>
          <w:b/>
          <w:bCs/>
          <w:sz w:val="22"/>
          <w:szCs w:val="22"/>
        </w:rPr>
        <w:t xml:space="preserve">Physics covers only Classical Mechanics. </w:t>
      </w:r>
      <w:r>
        <w:rPr>
          <w:rFonts w:ascii="Arial" w:cs="Arial" w:eastAsia="Arial" w:hAnsi="Arial"/>
          <w:sz w:val="22"/>
          <w:szCs w:val="22"/>
        </w:rPr>
        <w:t xml:space="preserve">No electromagnetism, thermodynamics, quantum mechanics, or modern physics sections exist.</w:t>
      </w:r>
    </w:p>
    <w:p>
      <w:pPr>
        <w:pStyle w:val="ListParagraph"/>
        <w:numPr>
          <w:ilvl w:val="0"/>
          <w:numId w:val="2"/>
        </w:numPr>
        <w:spacing w:after="60" w:line="276"/>
      </w:pPr>
      <w:r>
        <w:rPr>
          <w:rFonts w:ascii="Arial" w:cs="Arial" w:eastAsia="Arial" w:hAnsi="Arial"/>
          <w:b/>
          <w:bCs/>
          <w:sz w:val="22"/>
          <w:szCs w:val="22"/>
        </w:rPr>
        <w:t xml:space="preserve">Statistics is thin at 30 files </w:t>
      </w:r>
      <w:r>
        <w:rPr>
          <w:rFonts w:ascii="Arial" w:cs="Arial" w:eastAsia="Arial" w:hAnsi="Arial"/>
          <w:sz w:val="22"/>
          <w:szCs w:val="22"/>
        </w:rPr>
        <w:t xml:space="preserve">relative to the mathematical sophistication in the Probability section under Mathematics (which has ~50+ files).</w:t>
      </w:r>
    </w:p>
    <w:p>
      <w:pPr>
        <w:pStyle w:val="ListParagraph"/>
        <w:numPr>
          <w:ilvl w:val="0"/>
          <w:numId w:val="2"/>
        </w:numPr>
        <w:spacing w:after="60" w:line="276"/>
      </w:pPr>
      <w:r>
        <w:rPr>
          <w:rFonts w:ascii="Arial" w:cs="Arial" w:eastAsia="Arial" w:hAnsi="Arial"/>
          <w:b/>
          <w:bCs/>
          <w:sz w:val="22"/>
          <w:szCs w:val="22"/>
        </w:rPr>
        <w:t xml:space="preserve">Economics skews toward Finance. </w:t>
      </w:r>
      <w:r>
        <w:rPr>
          <w:rFonts w:ascii="Arial" w:cs="Arial" w:eastAsia="Arial" w:hAnsi="Arial"/>
          <w:sz w:val="22"/>
          <w:szCs w:val="22"/>
        </w:rPr>
        <w:t xml:space="preserve">The Finance subsection is the densest; Money, Markets, and Public Policy have fewer complete notes.</w:t>
      </w:r>
    </w:p>
    <w:p>
      <w:pPr>
        <w:pStyle w:val="ListParagraph"/>
        <w:numPr>
          <w:ilvl w:val="0"/>
          <w:numId w:val="2"/>
        </w:numPr>
        <w:spacing w:after="60" w:line="276"/>
      </w:pPr>
      <w:r>
        <w:rPr>
          <w:rFonts w:ascii="Arial" w:cs="Arial" w:eastAsia="Arial" w:hAnsi="Arial"/>
          <w:b/>
          <w:bCs/>
          <w:sz w:val="22"/>
          <w:szCs w:val="22"/>
        </w:rPr>
        <w:t xml:space="preserve">Computer Architecture is shallow. </w:t>
      </w:r>
      <w:r>
        <w:rPr>
          <w:rFonts w:ascii="Arial" w:cs="Arial" w:eastAsia="Arial" w:hAnsi="Arial"/>
          <w:sz w:val="22"/>
          <w:szCs w:val="22"/>
        </w:rPr>
        <w:t xml:space="preserve">Files on number representations are very brief (3–14 lines), lacking the depth seen in Robotics or CV.</w:t>
      </w:r>
    </w:p>
    <w:p>
      <w:pPr>
        <w:pStyle w:val="ListParagraph"/>
        <w:numPr>
          <w:ilvl w:val="0"/>
          <w:numId w:val="2"/>
        </w:numPr>
        <w:spacing w:after="60" w:line="276"/>
      </w:pPr>
      <w:r>
        <w:rPr>
          <w:rFonts w:ascii="Arial" w:cs="Arial" w:eastAsia="Arial" w:hAnsi="Arial"/>
          <w:b/>
          <w:bCs/>
          <w:sz w:val="22"/>
          <w:szCs w:val="22"/>
        </w:rPr>
        <w:t xml:space="preserve">The .trash folder holds ~211 files </w:t>
      </w:r>
      <w:r>
        <w:rPr>
          <w:rFonts w:ascii="Arial" w:cs="Arial" w:eastAsia="Arial" w:hAnsi="Arial"/>
          <w:sz w:val="22"/>
          <w:szCs w:val="22"/>
        </w:rPr>
        <w:t xml:space="preserve">(including old course labels like DATA 100, EECS 16AB, MCB C144), suggesting the vault went through a reorganization.</w:t>
      </w:r>
    </w:p>
    <w:p>
      <w:r>
        <w:br w:type="page"/>
      </w:r>
    </w:p>
    <w:p>
      <w:pPr>
        <w:pStyle w:val="Heading1"/>
        <w:spacing w:after="150" w:before="300"/>
      </w:pPr>
      <w:r>
        <w:t xml:space="preserve">2. Formatting &amp; Structure</w:t>
      </w:r>
    </w:p>
    <w:p>
      <w:pPr>
        <w:pStyle w:val="Heading2"/>
        <w:spacing w:after="150" w:before="300"/>
      </w:pPr>
      <w:r>
        <w:t xml:space="preserve">The Note Template</w:t>
      </w:r>
    </w:p>
    <w:p>
      <w:pPr>
        <w:spacing w:after="120" w:line="276"/>
      </w:pPr>
      <w:r>
        <w:rPr>
          <w:rFonts w:ascii="Arial" w:cs="Arial" w:eastAsia="Arial" w:hAnsi="Arial"/>
          <w:sz w:val="22"/>
          <w:szCs w:val="22"/>
        </w:rPr>
        <w:t xml:space="preserve">The vault follows a remarkably consistent formatting template across almost all substantive notes. The canonical structure is:</w:t>
      </w:r>
    </w:p>
    <w:p>
      <w:pPr>
        <w:pStyle w:val="ListParagraph"/>
        <w:numPr>
          <w:ilvl w:val="0"/>
          <w:numId w:val="3"/>
        </w:numPr>
        <w:spacing w:after="60" w:line="276"/>
      </w:pPr>
      <w:r>
        <w:rPr>
          <w:rFonts w:ascii="Arial" w:cs="Arial" w:eastAsia="Arial" w:hAnsi="Arial"/>
          <w:b/>
          <w:bCs/>
          <w:sz w:val="22"/>
          <w:szCs w:val="22"/>
        </w:rPr>
        <w:t xml:space="preserve">&gt;[!note] callout </w:t>
      </w:r>
      <w:r>
        <w:rPr>
          <w:rFonts w:ascii="Arial" w:cs="Arial" w:eastAsia="Arial" w:hAnsi="Arial"/>
          <w:sz w:val="22"/>
          <w:szCs w:val="22"/>
        </w:rPr>
        <w:t xml:space="preserve">— Contains the formal definition or core statement. Bolded key term. This replaces a traditional H1 header.</w:t>
      </w:r>
    </w:p>
    <w:p>
      <w:pPr>
        <w:pStyle w:val="ListParagraph"/>
        <w:numPr>
          <w:ilvl w:val="0"/>
          <w:numId w:val="3"/>
        </w:numPr>
        <w:spacing w:after="60" w:line="276"/>
      </w:pPr>
      <w:r>
        <w:rPr>
          <w:rFonts w:ascii="Arial" w:cs="Arial" w:eastAsia="Arial" w:hAnsi="Arial"/>
          <w:b/>
          <w:bCs/>
          <w:sz w:val="22"/>
          <w:szCs w:val="22"/>
        </w:rPr>
        <w:t xml:space="preserve"># Intuition </w:t>
      </w:r>
      <w:r>
        <w:rPr>
          <w:rFonts w:ascii="Arial" w:cs="Arial" w:eastAsia="Arial" w:hAnsi="Arial"/>
          <w:sz w:val="22"/>
          <w:szCs w:val="22"/>
        </w:rPr>
        <w:t xml:space="preserve">— Plain-English explanation of why the concept matters or how to think about it.</w:t>
      </w:r>
    </w:p>
    <w:p>
      <w:pPr>
        <w:pStyle w:val="ListParagraph"/>
        <w:numPr>
          <w:ilvl w:val="0"/>
          <w:numId w:val="3"/>
        </w:numPr>
        <w:spacing w:after="60" w:line="276"/>
      </w:pPr>
      <w:r>
        <w:rPr>
          <w:rFonts w:ascii="Arial" w:cs="Arial" w:eastAsia="Arial" w:hAnsi="Arial"/>
          <w:b/>
          <w:bCs/>
          <w:sz w:val="22"/>
          <w:szCs w:val="22"/>
        </w:rPr>
        <w:t xml:space="preserve"># Properties </w:t>
      </w:r>
      <w:r>
        <w:rPr>
          <w:rFonts w:ascii="Arial" w:cs="Arial" w:eastAsia="Arial" w:hAnsi="Arial"/>
          <w:sz w:val="22"/>
          <w:szCs w:val="22"/>
        </w:rPr>
        <w:t xml:space="preserve">— Named sub-items using #### (*Name*) format for theorems, lemmas, or key facts.</w:t>
      </w:r>
    </w:p>
    <w:p>
      <w:pPr>
        <w:pStyle w:val="ListParagraph"/>
        <w:numPr>
          <w:ilvl w:val="0"/>
          <w:numId w:val="3"/>
        </w:numPr>
        <w:spacing w:after="60" w:line="276"/>
      </w:pPr>
      <w:r>
        <w:rPr>
          <w:rFonts w:ascii="Arial" w:cs="Arial" w:eastAsia="Arial" w:hAnsi="Arial"/>
          <w:b/>
          <w:bCs/>
          <w:sz w:val="22"/>
          <w:szCs w:val="22"/>
        </w:rPr>
        <w:t xml:space="preserve"># Derivation </w:t>
      </w:r>
      <w:r>
        <w:rPr>
          <w:rFonts w:ascii="Arial" w:cs="Arial" w:eastAsia="Arial" w:hAnsi="Arial"/>
          <w:sz w:val="22"/>
          <w:szCs w:val="22"/>
        </w:rPr>
        <w:t xml:space="preserve">— Step-by-step mathematical reasoning (when applicable).</w:t>
      </w:r>
    </w:p>
    <w:p>
      <w:pPr>
        <w:pStyle w:val="ListParagraph"/>
        <w:numPr>
          <w:ilvl w:val="0"/>
          <w:numId w:val="3"/>
        </w:numPr>
        <w:spacing w:after="60" w:line="276"/>
      </w:pPr>
      <w:r>
        <w:rPr>
          <w:rFonts w:ascii="Arial" w:cs="Arial" w:eastAsia="Arial" w:hAnsi="Arial"/>
          <w:b/>
          <w:bCs/>
          <w:sz w:val="22"/>
          <w:szCs w:val="22"/>
        </w:rPr>
        <w:t xml:space="preserve"># Examples </w:t>
      </w:r>
      <w:r>
        <w:rPr>
          <w:rFonts w:ascii="Arial" w:cs="Arial" w:eastAsia="Arial" w:hAnsi="Arial"/>
          <w:sz w:val="22"/>
          <w:szCs w:val="22"/>
        </w:rPr>
        <w:t xml:space="preserve">— Worked problems, often inside collapsible &gt;[!example]- callouts.</w:t>
      </w:r>
    </w:p>
    <w:p>
      <w:pPr>
        <w:spacing w:after="120" w:line="276"/>
      </w:pPr>
      <w:r>
        <w:rPr>
          <w:rFonts w:ascii="Arial" w:cs="Arial" w:eastAsia="Arial" w:hAnsi="Arial"/>
          <w:sz w:val="22"/>
          <w:szCs w:val="22"/>
        </w:rPr>
        <w:t xml:space="preserve">This template is followed with high consistency in Mathematics, Statistics, Physics, Robotics, and portions of Computer Science. Economics and Electrical Engineering follow it with minor variations.</w:t>
      </w:r>
    </w:p>
    <w:p>
      <w:pPr>
        <w:pStyle w:val="Heading2"/>
        <w:spacing w:after="150" w:before="300"/>
      </w:pPr>
      <w:r>
        <w:t xml:space="preserve">Callout Usage</w:t>
      </w:r>
    </w:p>
    <w:p>
      <w:pPr>
        <w:spacing w:after="120" w:line="276"/>
      </w:pPr>
      <w:r>
        <w:rPr>
          <w:rFonts w:ascii="Arial" w:cs="Arial" w:eastAsia="Arial" w:hAnsi="Arial"/>
          <w:sz w:val="22"/>
          <w:szCs w:val="22"/>
        </w:rPr>
        <w:t xml:space="preserve">The vault uses three primary Obsidian callout types:</w:t>
      </w:r>
    </w:p>
    <w:p>
      <w:pPr>
        <w:pStyle w:val="ListParagraph"/>
        <w:numPr>
          <w:ilvl w:val="0"/>
          <w:numId w:val="2"/>
        </w:numPr>
        <w:spacing w:after="60" w:line="276"/>
      </w:pPr>
      <w:r>
        <w:rPr>
          <w:rFonts w:ascii="Arial" w:cs="Arial" w:eastAsia="Arial" w:hAnsi="Arial"/>
          <w:b/>
          <w:bCs/>
          <w:sz w:val="22"/>
          <w:szCs w:val="22"/>
        </w:rPr>
        <w:t xml:space="preserve">&gt;[!note] </w:t>
      </w:r>
      <w:r>
        <w:rPr>
          <w:rFonts w:ascii="Arial" w:cs="Arial" w:eastAsia="Arial" w:hAnsi="Arial"/>
          <w:sz w:val="22"/>
          <w:szCs w:val="22"/>
        </w:rPr>
        <w:t xml:space="preserve">— Universal for definitions. Present in virtually every substantive file.</w:t>
      </w:r>
    </w:p>
    <w:p>
      <w:pPr>
        <w:pStyle w:val="ListParagraph"/>
        <w:numPr>
          <w:ilvl w:val="0"/>
          <w:numId w:val="2"/>
        </w:numPr>
        <w:spacing w:after="60" w:line="276"/>
      </w:pPr>
      <w:r>
        <w:rPr>
          <w:rFonts w:ascii="Arial" w:cs="Arial" w:eastAsia="Arial" w:hAnsi="Arial"/>
          <w:b/>
          <w:bCs/>
          <w:sz w:val="22"/>
          <w:szCs w:val="22"/>
        </w:rPr>
        <w:t xml:space="preserve">&gt;[!warning] </w:t>
      </w:r>
      <w:r>
        <w:rPr>
          <w:rFonts w:ascii="Arial" w:cs="Arial" w:eastAsia="Arial" w:hAnsi="Arial"/>
          <w:sz w:val="22"/>
          <w:szCs w:val="22"/>
        </w:rPr>
        <w:t xml:space="preserve">— For caveats, misconceptions, and important clarifications (e.g., “Fictitious Forces,” “Eigenvector Triviality,” “Configuration Dependence”).</w:t>
      </w:r>
    </w:p>
    <w:p>
      <w:pPr>
        <w:pStyle w:val="ListParagraph"/>
        <w:numPr>
          <w:ilvl w:val="0"/>
          <w:numId w:val="2"/>
        </w:numPr>
        <w:spacing w:after="60" w:line="276"/>
      </w:pPr>
      <w:r>
        <w:rPr>
          <w:rFonts w:ascii="Arial" w:cs="Arial" w:eastAsia="Arial" w:hAnsi="Arial"/>
          <w:b/>
          <w:bCs/>
          <w:sz w:val="22"/>
          <w:szCs w:val="22"/>
        </w:rPr>
        <w:t xml:space="preserve">&gt;[!example] </w:t>
      </w:r>
      <w:r>
        <w:rPr>
          <w:rFonts w:ascii="Arial" w:cs="Arial" w:eastAsia="Arial" w:hAnsi="Arial"/>
          <w:sz w:val="22"/>
          <w:szCs w:val="22"/>
        </w:rPr>
        <w:t xml:space="preserve">and </w:t>
      </w:r>
      <w:r>
        <w:rPr>
          <w:rFonts w:ascii="Arial" w:cs="Arial" w:eastAsia="Arial" w:hAnsi="Arial"/>
          <w:b/>
          <w:bCs/>
          <w:sz w:val="22"/>
          <w:szCs w:val="22"/>
        </w:rPr>
        <w:t xml:space="preserve">&gt;[!example]- </w:t>
      </w:r>
      <w:r>
        <w:rPr>
          <w:rFonts w:ascii="Arial" w:cs="Arial" w:eastAsia="Arial" w:hAnsi="Arial"/>
          <w:sz w:val="22"/>
          <w:szCs w:val="22"/>
        </w:rPr>
        <w:t xml:space="preserve">— For worked problems. The dash variant creates collapsible sections, frequently nested for multi-part solutions.</w:t>
      </w:r>
    </w:p>
    <w:p>
      <w:pPr>
        <w:spacing w:after="120" w:line="276"/>
      </w:pPr>
      <w:r>
        <w:rPr>
          <w:rFonts w:ascii="Arial" w:cs="Arial" w:eastAsia="Arial" w:hAnsi="Arial"/>
          <w:sz w:val="22"/>
          <w:szCs w:val="22"/>
        </w:rPr>
        <w:t xml:space="preserve">However, only about </w:t>
      </w:r>
      <w:r>
        <w:rPr>
          <w:rFonts w:ascii="Arial" w:cs="Arial" w:eastAsia="Arial" w:hAnsi="Arial"/>
          <w:b/>
          <w:bCs/>
          <w:sz w:val="22"/>
          <w:szCs w:val="22"/>
        </w:rPr>
        <w:t xml:space="preserve">2.5% of files vault-wide</w:t>
      </w:r>
      <w:r>
        <w:rPr>
          <w:rFonts w:ascii="Arial" w:cs="Arial" w:eastAsia="Arial" w:hAnsi="Arial"/>
          <w:sz w:val="22"/>
          <w:szCs w:val="22"/>
        </w:rPr>
        <w:t xml:space="preserve"> use callouts systematically. Many older or incomplete files lack them entirely.</w:t>
      </w:r>
    </w:p>
    <w:p>
      <w:pPr>
        <w:pStyle w:val="Heading2"/>
        <w:spacing w:after="150" w:before="300"/>
      </w:pPr>
      <w:r>
        <w:t xml:space="preserve">LaTeX Mathematics</w:t>
      </w:r>
    </w:p>
    <w:p>
      <w:pPr>
        <w:spacing w:after="120" w:line="276"/>
      </w:pPr>
      <w:r>
        <w:rPr>
          <w:rFonts w:ascii="Arial" w:cs="Arial" w:eastAsia="Arial" w:hAnsi="Arial"/>
          <w:sz w:val="22"/>
          <w:szCs w:val="22"/>
        </w:rPr>
        <w:t xml:space="preserve">Mathematical notation is used extensively and with high quality throughout the vault. Inline math ($...$) appears in nearly every file across all domains. Block math ($$...$$) and aligned environments (\begin{align}...\end{align}) are common for major equations. Notation is generally consistent within domains: probability uses blackboard bold for expectations, physics uses vector arrows, linear algebra uses matrix bracket notation.</w:t>
      </w:r>
    </w:p>
    <w:p>
      <w:pPr>
        <w:pStyle w:val="Heading2"/>
        <w:spacing w:after="150" w:before="300"/>
      </w:pPr>
      <w:r>
        <w:t xml:space="preserve">TikZ Diagrams</w:t>
      </w:r>
    </w:p>
    <w:p>
      <w:pPr>
        <w:spacing w:after="120" w:line="276"/>
      </w:pPr>
      <w:r>
        <w:rPr>
          <w:rFonts w:ascii="Arial" w:cs="Arial" w:eastAsia="Arial" w:hAnsi="Arial"/>
          <w:sz w:val="22"/>
          <w:szCs w:val="22"/>
        </w:rPr>
        <w:t xml:space="preserve">The vault embeds TikZ diagrams directly as ```tikz code blocks, taking advantage of an Obsidian plugin for rendering. These appear in Linear Algebra (vector space visualizations), Physics (force diagrams, coordinate systems), Electrical Engineering (circuit schematics via CircuiTikz), Game Theory (game matrices), and Probability (Venn diagrams). This is a notable strength—the diagrams are version-controlled and editable, unlike screenshot-based approaches.</w:t>
      </w:r>
    </w:p>
    <w:p>
      <w:pPr>
        <w:pStyle w:val="Heading2"/>
        <w:spacing w:after="150" w:before="300"/>
      </w:pPr>
      <w:r>
        <w:t xml:space="preserve">Formatting Inconsistencies</w:t>
      </w:r>
    </w:p>
    <w:p>
      <w:pPr>
        <w:spacing w:after="120" w:line="276"/>
      </w:pPr>
      <w:r>
        <w:rPr>
          <w:rFonts w:ascii="Arial" w:cs="Arial" w:eastAsia="Arial" w:hAnsi="Arial"/>
          <w:sz w:val="22"/>
          <w:szCs w:val="22"/>
        </w:rPr>
        <w:t xml:space="preserve">Despite the strong template, some inconsistencies exist:</w:t>
      </w:r>
    </w:p>
    <w:p>
      <w:pPr>
        <w:pStyle w:val="ListParagraph"/>
        <w:numPr>
          <w:ilvl w:val="0"/>
          <w:numId w:val="2"/>
        </w:numPr>
        <w:spacing w:after="60" w:line="276"/>
      </w:pPr>
      <w:r>
        <w:rPr>
          <w:rFonts w:ascii="Arial" w:cs="Arial" w:eastAsia="Arial" w:hAnsi="Arial"/>
          <w:b/>
          <w:bCs/>
          <w:sz w:val="22"/>
          <w:szCs w:val="22"/>
        </w:rPr>
        <w:t xml:space="preserve">Header level usage varies. </w:t>
      </w:r>
      <w:r>
        <w:rPr>
          <w:rFonts w:ascii="Arial" w:cs="Arial" w:eastAsia="Arial" w:hAnsi="Arial"/>
          <w:sz w:val="22"/>
          <w:szCs w:val="22"/>
        </w:rPr>
        <w:t xml:space="preserve">Some files use # for section headers (Intuition, Properties), while a handful use ## or inconsistent depths.</w:t>
      </w:r>
    </w:p>
    <w:p>
      <w:pPr>
        <w:pStyle w:val="ListParagraph"/>
        <w:numPr>
          <w:ilvl w:val="0"/>
          <w:numId w:val="2"/>
        </w:numPr>
        <w:spacing w:after="60" w:line="276"/>
      </w:pPr>
      <w:r>
        <w:rPr>
          <w:rFonts w:ascii="Arial" w:cs="Arial" w:eastAsia="Arial" w:hAnsi="Arial"/>
          <w:b/>
          <w:bCs/>
          <w:sz w:val="22"/>
          <w:szCs w:val="22"/>
        </w:rPr>
        <w:t xml:space="preserve">Example difficulty labels are inconsistent. </w:t>
      </w:r>
      <w:r>
        <w:rPr>
          <w:rFonts w:ascii="Arial" w:cs="Arial" w:eastAsia="Arial" w:hAnsi="Arial"/>
          <w:sz w:val="22"/>
          <w:szCs w:val="22"/>
        </w:rPr>
        <w:t xml:space="preserve">Physics labels examples as (Easy), (Medium), (Hard). No other domain does this.</w:t>
      </w:r>
    </w:p>
    <w:p>
      <w:pPr>
        <w:pStyle w:val="ListParagraph"/>
        <w:numPr>
          <w:ilvl w:val="0"/>
          <w:numId w:val="2"/>
        </w:numPr>
        <w:spacing w:after="60" w:line="276"/>
      </w:pPr>
      <w:r>
        <w:rPr>
          <w:rFonts w:ascii="Arial" w:cs="Arial" w:eastAsia="Arial" w:hAnsi="Arial"/>
          <w:b/>
          <w:bCs/>
          <w:sz w:val="22"/>
          <w:szCs w:val="22"/>
        </w:rPr>
        <w:t xml:space="preserve">Numbered section prefixes in filenames vary. </w:t>
      </w:r>
      <w:r>
        <w:rPr>
          <w:rFonts w:ascii="Arial" w:cs="Arial" w:eastAsia="Arial" w:hAnsi="Arial"/>
          <w:sz w:val="22"/>
          <w:szCs w:val="22"/>
        </w:rPr>
        <w:t xml:space="preserve">Most use “2.1 Topic Name” but some add letters (2.5a, 2.2b) or dots (2.1. Topic) inconsistently.</w:t>
      </w:r>
    </w:p>
    <w:p>
      <w:pPr>
        <w:pStyle w:val="ListParagraph"/>
        <w:numPr>
          <w:ilvl w:val="0"/>
          <w:numId w:val="2"/>
        </w:numPr>
        <w:spacing w:after="60" w:line="276"/>
      </w:pPr>
      <w:r>
        <w:rPr>
          <w:rFonts w:ascii="Arial" w:cs="Arial" w:eastAsia="Arial" w:hAnsi="Arial"/>
          <w:b/>
          <w:bCs/>
          <w:sz w:val="22"/>
          <w:szCs w:val="22"/>
        </w:rPr>
        <w:t xml:space="preserve">Index files are mostly empty. </w:t>
      </w:r>
      <w:r>
        <w:rPr>
          <w:rFonts w:ascii="Arial" w:cs="Arial" w:eastAsia="Arial" w:hAnsi="Arial"/>
          <w:sz w:val="22"/>
          <w:szCs w:val="22"/>
        </w:rPr>
        <w:t xml:space="preserve">Folder-level “parent” notes (e.g., “5. Linear Algebra.md”) contain only plugin metadata or nothing at all—no table of contents or overview.</w:t>
      </w:r>
    </w:p>
    <w:p>
      <w:pPr>
        <w:pStyle w:val="ListParagraph"/>
        <w:numPr>
          <w:ilvl w:val="0"/>
          <w:numId w:val="2"/>
        </w:numPr>
        <w:spacing w:after="60" w:line="276"/>
      </w:pPr>
      <w:r>
        <w:rPr>
          <w:rFonts w:ascii="Arial" w:cs="Arial" w:eastAsia="Arial" w:hAnsi="Arial"/>
          <w:b/>
          <w:bCs/>
          <w:sz w:val="22"/>
          <w:szCs w:val="22"/>
        </w:rPr>
        <w:t xml:space="preserve">A typo exists in a filename: </w:t>
      </w:r>
      <w:r>
        <w:rPr>
          <w:rFonts w:ascii="Arial" w:cs="Arial" w:eastAsia="Arial" w:hAnsi="Arial"/>
          <w:sz w:val="22"/>
          <w:szCs w:val="22"/>
        </w:rPr>
        <w:t xml:space="preserve">“2.1. Classifcation.md” (missing ‘i’) in the Machine Learning section.</w:t>
      </w:r>
    </w:p>
    <w:p>
      <w:r>
        <w:br w:type="page"/>
      </w:r>
    </w:p>
    <w:p>
      <w:pPr>
        <w:pStyle w:val="Heading1"/>
        <w:spacing w:after="150" w:before="300"/>
      </w:pPr>
      <w:r>
        <w:t xml:space="preserve">3. Content Quality &amp; Depth</w:t>
      </w:r>
    </w:p>
    <w:p>
      <w:pPr>
        <w:pStyle w:val="Heading2"/>
        <w:spacing w:after="150" w:before="300"/>
      </w:pPr>
      <w:r>
        <w:t xml:space="preserve">Depth Assessment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Domain</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Rigor</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Pedagogy</w:t>
            </w:r>
          </w:p>
        </w:tc>
        <w:tc>
          <w:tcPr>
            <w:tcW w:type="dxa" w:w="2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Completeness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Mathematics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Very 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Physics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Very High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Moderate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Robotics (CS)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Very 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Statistics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Moderate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Low–Moderate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Economics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Medium–High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Moderate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Elec. Engineering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Very 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Moderate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CS (Architecture)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Low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CS (Deep Learning)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N/A (stubs)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N/A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Very Low</w:t>
            </w:r>
          </w:p>
        </w:tc>
      </w:tr>
    </w:tbl>
    <w:p>
      <w:pPr>
        <w:spacing w:after="120"/>
      </w:pPr>
    </w:p>
    <w:p>
      <w:pPr>
        <w:spacing w:after="120" w:line="276"/>
      </w:pPr>
      <w:r>
        <w:rPr>
          <w:rFonts w:ascii="Arial" w:cs="Arial" w:eastAsia="Arial" w:hAnsi="Arial"/>
          <w:sz w:val="22"/>
          <w:szCs w:val="22"/>
        </w:rPr>
        <w:t xml:space="preserve">The strongest content lives in Robotics, Probability, Linear Algebra, and Physics, where notes provide formal definitions, intuitive explanations, complete derivations, and multiple worked examples. At the other end, Computer Architecture consists mostly of brief conversion procedures, and Deep Learning is almost entirely placeholder files.</w:t>
      </w:r>
    </w:p>
    <w:p>
      <w:pPr>
        <w:pStyle w:val="Heading2"/>
        <w:spacing w:after="150" w:before="300"/>
      </w:pPr>
      <w:r>
        <w:t xml:space="preserve">Typical File Lengths</w:t>
      </w:r>
    </w:p>
    <w:p>
      <w:pPr>
        <w:spacing w:after="120" w:line="276"/>
      </w:pPr>
      <w:r>
        <w:rPr>
          <w:rFonts w:ascii="Arial" w:cs="Arial" w:eastAsia="Arial" w:hAnsi="Arial"/>
          <w:sz w:val="22"/>
          <w:szCs w:val="22"/>
        </w:rPr>
        <w:t xml:space="preserve">File lengths vary considerably:</w:t>
      </w:r>
    </w:p>
    <w:p>
      <w:pPr>
        <w:pStyle w:val="ListParagraph"/>
        <w:numPr>
          <w:ilvl w:val="0"/>
          <w:numId w:val="2"/>
        </w:numPr>
        <w:spacing w:after="60" w:line="276"/>
      </w:pPr>
      <w:r>
        <w:rPr>
          <w:rFonts w:ascii="Arial" w:cs="Arial" w:eastAsia="Arial" w:hAnsi="Arial"/>
          <w:b/>
          <w:bCs/>
          <w:sz w:val="22"/>
          <w:szCs w:val="22"/>
        </w:rPr>
        <w:t xml:space="preserve">Very short (&lt;20 lines): </w:t>
      </w:r>
      <w:r>
        <w:rPr>
          <w:rFonts w:ascii="Arial" w:cs="Arial" w:eastAsia="Arial" w:hAnsi="Arial"/>
          <w:sz w:val="22"/>
          <w:szCs w:val="22"/>
        </w:rPr>
        <w:t xml:space="preserve">Stubs, definitions-only files, and number system notes. About 30% of the vault falls in this range, though many are genuinely empty.</w:t>
      </w:r>
    </w:p>
    <w:p>
      <w:pPr>
        <w:pStyle w:val="ListParagraph"/>
        <w:numPr>
          <w:ilvl w:val="0"/>
          <w:numId w:val="2"/>
        </w:numPr>
        <w:spacing w:after="60" w:line="276"/>
      </w:pPr>
      <w:r>
        <w:rPr>
          <w:rFonts w:ascii="Arial" w:cs="Arial" w:eastAsia="Arial" w:hAnsi="Arial"/>
          <w:b/>
          <w:bCs/>
          <w:sz w:val="22"/>
          <w:szCs w:val="22"/>
        </w:rPr>
        <w:t xml:space="preserve">Medium (40–100 lines): </w:t>
      </w:r>
      <w:r>
        <w:rPr>
          <w:rFonts w:ascii="Arial" w:cs="Arial" w:eastAsia="Arial" w:hAnsi="Arial"/>
          <w:sz w:val="22"/>
          <w:szCs w:val="22"/>
        </w:rPr>
        <w:t xml:space="preserve">The most common length for complete notes. Includes definition, intuition, properties, and at least one example.</w:t>
      </w:r>
    </w:p>
    <w:p>
      <w:pPr>
        <w:pStyle w:val="ListParagraph"/>
        <w:numPr>
          <w:ilvl w:val="0"/>
          <w:numId w:val="2"/>
        </w:numPr>
        <w:spacing w:after="60" w:line="276"/>
      </w:pPr>
      <w:r>
        <w:rPr>
          <w:rFonts w:ascii="Arial" w:cs="Arial" w:eastAsia="Arial" w:hAnsi="Arial"/>
          <w:b/>
          <w:bCs/>
          <w:sz w:val="22"/>
          <w:szCs w:val="22"/>
        </w:rPr>
        <w:t xml:space="preserve">Long (100–240 lines): </w:t>
      </w:r>
      <w:r>
        <w:rPr>
          <w:rFonts w:ascii="Arial" w:cs="Arial" w:eastAsia="Arial" w:hAnsi="Arial"/>
          <w:sz w:val="22"/>
          <w:szCs w:val="22"/>
        </w:rPr>
        <w:t xml:space="preserve">Comprehensive treatments with multiple sections, TikZ diagrams, and extensive worked examples. Examples include LTI Convolution (236 lines), Bernoulli’s Principle (128 lines), and Bayes’ Rule (103 lines).</w:t>
      </w:r>
    </w:p>
    <w:p>
      <w:pPr>
        <w:pStyle w:val="Heading2"/>
        <w:spacing w:after="150" w:before="300"/>
      </w:pPr>
      <w:r>
        <w:t xml:space="preserve">Empty &amp; Stub Files</w:t>
      </w:r>
    </w:p>
    <w:p>
      <w:pPr>
        <w:spacing w:after="120" w:line="276"/>
      </w:pPr>
      <w:r>
        <w:rPr>
          <w:rFonts w:ascii="Arial" w:cs="Arial" w:eastAsia="Arial" w:hAnsi="Arial"/>
          <w:sz w:val="22"/>
          <w:szCs w:val="22"/>
        </w:rPr>
        <w:t xml:space="preserve">Approximately </w:t>
      </w:r>
      <w:r>
        <w:rPr>
          <w:rFonts w:ascii="Arial" w:cs="Arial" w:eastAsia="Arial" w:hAnsi="Arial"/>
          <w:b/>
          <w:bCs/>
          <w:sz w:val="22"/>
          <w:szCs w:val="22"/>
        </w:rPr>
        <w:t xml:space="preserve">357 files (30% of the vault)</w:t>
      </w:r>
      <w:r>
        <w:rPr>
          <w:rFonts w:ascii="Arial" w:cs="Arial" w:eastAsia="Arial" w:hAnsi="Arial"/>
          <w:sz w:val="22"/>
          <w:szCs w:val="22"/>
        </w:rPr>
        <w:t xml:space="preserve"> are empty or contain fewer than 50 bytes. These are scattered across all domains but are especially concentrated in Deep Learning, NLP, and parts of Computer Vision. They represent planned content that hasn’t been written yet. The vault’s .trash folder adds another 211 files of abandoned or reorganized content.</w:t>
      </w:r>
    </w:p>
    <w:p>
      <w:r>
        <w:br w:type="page"/>
      </w:r>
    </w:p>
    <w:p>
      <w:pPr>
        <w:pStyle w:val="Heading1"/>
        <w:spacing w:after="150" w:before="300"/>
      </w:pPr>
      <w:r>
        <w:t xml:space="preserve">4. Wording, Tone &amp; Writing Style</w:t>
      </w:r>
    </w:p>
    <w:p>
      <w:pPr>
        <w:pStyle w:val="Heading2"/>
        <w:spacing w:after="150" w:before="300"/>
      </w:pPr>
      <w:r>
        <w:t xml:space="preserve">Overall Tone</w:t>
      </w:r>
    </w:p>
    <w:p>
      <w:pPr>
        <w:spacing w:after="120" w:line="276"/>
      </w:pPr>
      <w:r>
        <w:rPr>
          <w:rFonts w:ascii="Arial" w:cs="Arial" w:eastAsia="Arial" w:hAnsi="Arial"/>
          <w:sz w:val="22"/>
          <w:szCs w:val="22"/>
        </w:rPr>
        <w:t xml:space="preserve">The writing across the vault is consistently academic and authoritative, resembling a well-edited personal textbook rather than raw lecture transcripts. The voice is formal but not impenetrable—definitions are precise, and intuition sections provide accessible bridges to the formalism.</w:t>
      </w:r>
    </w:p>
    <w:p>
      <w:pPr>
        <w:pStyle w:val="Heading2"/>
        <w:spacing w:after="150" w:before="300"/>
      </w:pPr>
      <w:r>
        <w:t xml:space="preserve">Stylistic Patterns</w:t>
      </w:r>
    </w:p>
    <w:p>
      <w:pPr>
        <w:pStyle w:val="ListParagraph"/>
        <w:numPr>
          <w:ilvl w:val="0"/>
          <w:numId w:val="2"/>
        </w:numPr>
        <w:spacing w:after="60" w:line="276"/>
      </w:pPr>
      <w:r>
        <w:rPr>
          <w:rFonts w:ascii="Arial" w:cs="Arial" w:eastAsia="Arial" w:hAnsi="Arial"/>
          <w:b/>
          <w:bCs/>
          <w:sz w:val="22"/>
          <w:szCs w:val="22"/>
        </w:rPr>
        <w:t xml:space="preserve">Definitions lead. </w:t>
      </w:r>
      <w:r>
        <w:rPr>
          <w:rFonts w:ascii="Arial" w:cs="Arial" w:eastAsia="Arial" w:hAnsi="Arial"/>
          <w:sz w:val="22"/>
          <w:szCs w:val="22"/>
        </w:rPr>
        <w:t xml:space="preserve">Nearly every note opens with a bolded formal definition inside a &gt;[!note] callout. The pattern “A [concept] is a [formal description] that...” is standard.</w:t>
      </w:r>
    </w:p>
    <w:p>
      <w:pPr>
        <w:pStyle w:val="ListParagraph"/>
        <w:numPr>
          <w:ilvl w:val="0"/>
          <w:numId w:val="2"/>
        </w:numPr>
        <w:spacing w:after="60" w:line="276"/>
      </w:pPr>
      <w:r>
        <w:rPr>
          <w:rFonts w:ascii="Arial" w:cs="Arial" w:eastAsia="Arial" w:hAnsi="Arial"/>
          <w:b/>
          <w:bCs/>
          <w:sz w:val="22"/>
          <w:szCs w:val="22"/>
        </w:rPr>
        <w:t xml:space="preserve">Intuition sections humanize. </w:t>
      </w:r>
      <w:r>
        <w:rPr>
          <w:rFonts w:ascii="Arial" w:cs="Arial" w:eastAsia="Arial" w:hAnsi="Arial"/>
          <w:sz w:val="22"/>
          <w:szCs w:val="22"/>
        </w:rPr>
        <w:t xml:space="preserve">These use phrases like “By dividing the joint probability... we are zooming in on the world where A happened”—conversational but precise.</w:t>
      </w:r>
    </w:p>
    <w:p>
      <w:pPr>
        <w:pStyle w:val="ListParagraph"/>
        <w:numPr>
          <w:ilvl w:val="0"/>
          <w:numId w:val="2"/>
        </w:numPr>
        <w:spacing w:after="60" w:line="276"/>
      </w:pPr>
      <w:r>
        <w:rPr>
          <w:rFonts w:ascii="Arial" w:cs="Arial" w:eastAsia="Arial" w:hAnsi="Arial"/>
          <w:b/>
          <w:bCs/>
          <w:sz w:val="22"/>
          <w:szCs w:val="22"/>
        </w:rPr>
        <w:t xml:space="preserve">Properties are compact. </w:t>
      </w:r>
      <w:r>
        <w:rPr>
          <w:rFonts w:ascii="Arial" w:cs="Arial" w:eastAsia="Arial" w:hAnsi="Arial"/>
          <w:sz w:val="22"/>
          <w:szCs w:val="22"/>
        </w:rPr>
        <w:t xml:space="preserve">Named using the #### (*Theorem Name*) convention, properties are stated crisply with minimal prose. Proofs, when present, are brief.</w:t>
      </w:r>
    </w:p>
    <w:p>
      <w:pPr>
        <w:pStyle w:val="ListParagraph"/>
        <w:numPr>
          <w:ilvl w:val="0"/>
          <w:numId w:val="2"/>
        </w:numPr>
        <w:spacing w:after="60" w:line="276"/>
      </w:pPr>
      <w:r>
        <w:rPr>
          <w:rFonts w:ascii="Arial" w:cs="Arial" w:eastAsia="Arial" w:hAnsi="Arial"/>
          <w:b/>
          <w:bCs/>
          <w:sz w:val="22"/>
          <w:szCs w:val="22"/>
        </w:rPr>
        <w:t xml:space="preserve">Examples are pedagogical. </w:t>
      </w:r>
      <w:r>
        <w:rPr>
          <w:rFonts w:ascii="Arial" w:cs="Arial" w:eastAsia="Arial" w:hAnsi="Arial"/>
          <w:sz w:val="22"/>
          <w:szCs w:val="22"/>
        </w:rPr>
        <w:t xml:space="preserve">Physics examples include difficulty labels. Probability examples draw from real scenarios (pharmaceutical companies, card games, Monty Hall).</w:t>
      </w:r>
    </w:p>
    <w:p>
      <w:pPr>
        <w:pStyle w:val="ListParagraph"/>
        <w:numPr>
          <w:ilvl w:val="0"/>
          <w:numId w:val="2"/>
        </w:numPr>
        <w:spacing w:after="60" w:line="276"/>
      </w:pPr>
      <w:r>
        <w:rPr>
          <w:rFonts w:ascii="Arial" w:cs="Arial" w:eastAsia="Arial" w:hAnsi="Arial"/>
          <w:b/>
          <w:bCs/>
          <w:sz w:val="22"/>
          <w:szCs w:val="22"/>
        </w:rPr>
        <w:t xml:space="preserve">Heavy use of “we” and imperative. </w:t>
      </w:r>
      <w:r>
        <w:rPr>
          <w:rFonts w:ascii="Arial" w:cs="Arial" w:eastAsia="Arial" w:hAnsi="Arial"/>
          <w:sz w:val="22"/>
          <w:szCs w:val="22"/>
        </w:rPr>
        <w:t xml:space="preserve">“Consider...,” “Suppose...,” “We define...”—standard mathematical exposition voice.</w:t>
      </w:r>
    </w:p>
    <w:p>
      <w:pPr>
        <w:pStyle w:val="Heading2"/>
        <w:spacing w:after="150" w:before="300"/>
      </w:pPr>
      <w:r>
        <w:t xml:space="preserve">Domain-Specific Variation</w:t>
      </w:r>
    </w:p>
    <w:p>
      <w:pPr>
        <w:spacing w:after="120" w:line="276"/>
      </w:pPr>
      <w:r>
        <w:rPr>
          <w:rFonts w:ascii="Arial" w:cs="Arial" w:eastAsia="Arial" w:hAnsi="Arial"/>
          <w:sz w:val="22"/>
          <w:szCs w:val="22"/>
        </w:rPr>
        <w:t xml:space="preserve">While the core voice is consistent, each domain has subtle stylistic leanings:</w:t>
      </w:r>
    </w:p>
    <w:p>
      <w:pPr>
        <w:pStyle w:val="ListParagraph"/>
        <w:numPr>
          <w:ilvl w:val="0"/>
          <w:numId w:val="2"/>
        </w:numPr>
        <w:spacing w:after="60" w:line="276"/>
      </w:pPr>
      <w:r>
        <w:rPr>
          <w:rFonts w:ascii="Arial" w:cs="Arial" w:eastAsia="Arial" w:hAnsi="Arial"/>
          <w:b/>
          <w:bCs/>
          <w:sz w:val="22"/>
          <w:szCs w:val="22"/>
        </w:rPr>
        <w:t xml:space="preserve">Physics </w:t>
      </w:r>
      <w:r>
        <w:rPr>
          <w:rFonts w:ascii="Arial" w:cs="Arial" w:eastAsia="Arial" w:hAnsi="Arial"/>
          <w:sz w:val="22"/>
          <w:szCs w:val="22"/>
        </w:rPr>
        <w:t xml:space="preserve">is the most pedagogical—careful derivations, misconception warnings, and graded difficulty examples.</w:t>
      </w:r>
    </w:p>
    <w:p>
      <w:pPr>
        <w:pStyle w:val="ListParagraph"/>
        <w:numPr>
          <w:ilvl w:val="0"/>
          <w:numId w:val="2"/>
        </w:numPr>
        <w:spacing w:after="60" w:line="276"/>
      </w:pPr>
      <w:r>
        <w:rPr>
          <w:rFonts w:ascii="Arial" w:cs="Arial" w:eastAsia="Arial" w:hAnsi="Arial"/>
          <w:b/>
          <w:bCs/>
          <w:sz w:val="22"/>
          <w:szCs w:val="22"/>
        </w:rPr>
        <w:t xml:space="preserve">Economics </w:t>
      </w:r>
      <w:r>
        <w:rPr>
          <w:rFonts w:ascii="Arial" w:cs="Arial" w:eastAsia="Arial" w:hAnsi="Arial"/>
          <w:sz w:val="22"/>
          <w:szCs w:val="22"/>
        </w:rPr>
        <w:t xml:space="preserve">is the most argumentative—notes often present theories alongside critiques and empirical puzzles (e.g., the Equity Premium Puzzle).</w:t>
      </w:r>
    </w:p>
    <w:p>
      <w:pPr>
        <w:pStyle w:val="ListParagraph"/>
        <w:numPr>
          <w:ilvl w:val="0"/>
          <w:numId w:val="2"/>
        </w:numPr>
        <w:spacing w:after="60" w:line="276"/>
      </w:pPr>
      <w:r>
        <w:rPr>
          <w:rFonts w:ascii="Arial" w:cs="Arial" w:eastAsia="Arial" w:hAnsi="Arial"/>
          <w:b/>
          <w:bCs/>
          <w:sz w:val="22"/>
          <w:szCs w:val="22"/>
        </w:rPr>
        <w:t xml:space="preserve">Electrical Engineering </w:t>
      </w:r>
      <w:r>
        <w:rPr>
          <w:rFonts w:ascii="Arial" w:cs="Arial" w:eastAsia="Arial" w:hAnsi="Arial"/>
          <w:sz w:val="22"/>
          <w:szCs w:val="22"/>
        </w:rPr>
        <w:t xml:space="preserve">is the most terse—heavy notation with less prose between equations. Intuition sections are sometimes sparse.</w:t>
      </w:r>
    </w:p>
    <w:p>
      <w:pPr>
        <w:pStyle w:val="ListParagraph"/>
        <w:numPr>
          <w:ilvl w:val="0"/>
          <w:numId w:val="2"/>
        </w:numPr>
        <w:spacing w:after="60" w:line="276"/>
      </w:pPr>
      <w:r>
        <w:rPr>
          <w:rFonts w:ascii="Arial" w:cs="Arial" w:eastAsia="Arial" w:hAnsi="Arial"/>
          <w:b/>
          <w:bCs/>
          <w:sz w:val="22"/>
          <w:szCs w:val="22"/>
        </w:rPr>
        <w:t xml:space="preserve">Robotics </w:t>
      </w:r>
      <w:r>
        <w:rPr>
          <w:rFonts w:ascii="Arial" w:cs="Arial" w:eastAsia="Arial" w:hAnsi="Arial"/>
          <w:sz w:val="22"/>
          <w:szCs w:val="22"/>
        </w:rPr>
        <w:t xml:space="preserve">is the most thorough—files frequently exceed 80 lines with complete derivations, multiple representation methods, and extended examples.</w:t>
      </w:r>
    </w:p>
    <w:p>
      <w:r>
        <w:br w:type="page"/>
      </w:r>
    </w:p>
    <w:p>
      <w:pPr>
        <w:pStyle w:val="Heading1"/>
        <w:spacing w:after="150" w:before="300"/>
      </w:pPr>
      <w:r>
        <w:t xml:space="preserve">5. Cross-Linking &amp; Navigation</w:t>
      </w:r>
    </w:p>
    <w:p>
      <w:pPr>
        <w:pStyle w:val="Heading2"/>
        <w:spacing w:after="150" w:before="300"/>
      </w:pPr>
      <w:r>
        <w:t xml:space="preserve">Link Density</w:t>
      </w:r>
    </w:p>
    <w:p>
      <w:pPr>
        <w:spacing w:after="120" w:line="276"/>
      </w:pPr>
      <w:r>
        <w:rPr>
          <w:rFonts w:ascii="Arial" w:cs="Arial" w:eastAsia="Arial" w:hAnsi="Arial"/>
          <w:sz w:val="22"/>
          <w:szCs w:val="22"/>
        </w:rPr>
        <w:t xml:space="preserve">Only about </w:t>
      </w:r>
      <w:r>
        <w:rPr>
          <w:rFonts w:ascii="Arial" w:cs="Arial" w:eastAsia="Arial" w:hAnsi="Arial"/>
          <w:b/>
          <w:bCs/>
          <w:sz w:val="22"/>
          <w:szCs w:val="22"/>
        </w:rPr>
        <w:t xml:space="preserve">22% of files (265 of ~1,196)</w:t>
      </w:r>
      <w:r>
        <w:rPr>
          <w:rFonts w:ascii="Arial" w:cs="Arial" w:eastAsia="Arial" w:hAnsi="Arial"/>
          <w:sz w:val="22"/>
          <w:szCs w:val="22"/>
        </w:rPr>
        <w:t xml:space="preserve"> contain Obsidian wiki-links. Among files that do link, the average is ~1.6 links per file. This is low for a knowledge vault, where dense interlinking is what transforms a folder of notes into a navigable knowledge graph.</w:t>
      </w:r>
    </w:p>
    <w:p>
      <w:pPr>
        <w:pStyle w:val="Heading2"/>
        <w:spacing w:after="150" w:before="300"/>
      </w:pPr>
      <w:r>
        <w:t xml:space="preserve">Link Patterns</w:t>
      </w:r>
    </w:p>
    <w:p>
      <w:pPr>
        <w:spacing w:after="120" w:line="276"/>
      </w:pPr>
      <w:r>
        <w:rPr>
          <w:rFonts w:ascii="Arial" w:cs="Arial" w:eastAsia="Arial" w:hAnsi="Arial"/>
          <w:sz w:val="22"/>
          <w:szCs w:val="22"/>
        </w:rPr>
        <w:t xml:space="preserve">When links are present, they follow clear patterns:</w:t>
      </w:r>
    </w:p>
    <w:p>
      <w:pPr>
        <w:pStyle w:val="ListParagraph"/>
        <w:numPr>
          <w:ilvl w:val="0"/>
          <w:numId w:val="2"/>
        </w:numPr>
        <w:spacing w:after="60" w:line="276"/>
      </w:pPr>
      <w:r>
        <w:rPr>
          <w:rFonts w:ascii="Arial" w:cs="Arial" w:eastAsia="Arial" w:hAnsi="Arial"/>
          <w:b/>
          <w:bCs/>
          <w:sz w:val="22"/>
          <w:szCs w:val="22"/>
        </w:rPr>
        <w:t xml:space="preserve">Within-domain horizontal links </w:t>
      </w:r>
      <w:r>
        <w:rPr>
          <w:rFonts w:ascii="Arial" w:cs="Arial" w:eastAsia="Arial" w:hAnsi="Arial"/>
          <w:sz w:val="22"/>
          <w:szCs w:val="22"/>
        </w:rPr>
        <w:t xml:space="preserve">are most common—Bayes’ Rule links to Conditional Probability, Logistic Regression links to Maximum Likelihood Estimation.</w:t>
      </w:r>
    </w:p>
    <w:p>
      <w:pPr>
        <w:pStyle w:val="ListParagraph"/>
        <w:numPr>
          <w:ilvl w:val="0"/>
          <w:numId w:val="2"/>
        </w:numPr>
        <w:spacing w:after="60" w:line="276"/>
      </w:pPr>
      <w:r>
        <w:rPr>
          <w:rFonts w:ascii="Arial" w:cs="Arial" w:eastAsia="Arial" w:hAnsi="Arial"/>
          <w:b/>
          <w:bCs/>
          <w:sz w:val="22"/>
          <w:szCs w:val="22"/>
        </w:rPr>
        <w:t xml:space="preserve">Upward links to prerequisites </w:t>
      </w:r>
      <w:r>
        <w:rPr>
          <w:rFonts w:ascii="Arial" w:cs="Arial" w:eastAsia="Arial" w:hAnsi="Arial"/>
          <w:sz w:val="22"/>
          <w:szCs w:val="22"/>
        </w:rPr>
        <w:t xml:space="preserve">appear regularly—a Deep Learning file might link to the underlying Linear Algebra concept.</w:t>
      </w:r>
    </w:p>
    <w:p>
      <w:pPr>
        <w:pStyle w:val="ListParagraph"/>
        <w:numPr>
          <w:ilvl w:val="0"/>
          <w:numId w:val="2"/>
        </w:numPr>
        <w:spacing w:after="60" w:line="276"/>
      </w:pPr>
      <w:r>
        <w:rPr>
          <w:rFonts w:ascii="Arial" w:cs="Arial" w:eastAsia="Arial" w:hAnsi="Arial"/>
          <w:b/>
          <w:bCs/>
          <w:sz w:val="22"/>
          <w:szCs w:val="22"/>
        </w:rPr>
        <w:t xml:space="preserve">Cross-domain links are nearly absent. </w:t>
      </w:r>
      <w:r>
        <w:rPr>
          <w:rFonts w:ascii="Arial" w:cs="Arial" w:eastAsia="Arial" w:hAnsi="Arial"/>
          <w:sz w:val="22"/>
          <w:szCs w:val="22"/>
        </w:rPr>
        <w:t xml:space="preserve">There is minimal linking between, say, Probability and Statistics, or between Linear Algebra and Machine Learning—connections that would be highly valuable.</w:t>
      </w:r>
    </w:p>
    <w:p>
      <w:pPr>
        <w:pStyle w:val="ListParagraph"/>
        <w:numPr>
          <w:ilvl w:val="0"/>
          <w:numId w:val="2"/>
        </w:numPr>
        <w:spacing w:after="60" w:line="276"/>
      </w:pPr>
      <w:r>
        <w:rPr>
          <w:rFonts w:ascii="Arial" w:cs="Arial" w:eastAsia="Arial" w:hAnsi="Arial"/>
          <w:b/>
          <w:bCs/>
          <w:sz w:val="22"/>
          <w:szCs w:val="22"/>
        </w:rPr>
        <w:t xml:space="preserve">Display-text aliasing is used well. </w:t>
      </w:r>
      <w:r>
        <w:rPr>
          <w:rFonts w:ascii="Arial" w:cs="Arial" w:eastAsia="Arial" w:hAnsi="Arial"/>
          <w:sz w:val="22"/>
          <w:szCs w:val="22"/>
        </w:rPr>
        <w:t xml:space="preserve">Links like [[2.5a Simple Induction|mathematical induction]] keep prose readable while maintaining navigation.</w:t>
      </w:r>
    </w:p>
    <w:p>
      <w:pPr>
        <w:pStyle w:val="Heading2"/>
        <w:spacing w:after="150" w:before="300"/>
      </w:pPr>
      <w:r>
        <w:t xml:space="preserve">Orphan Notes</w:t>
      </w:r>
    </w:p>
    <w:p>
      <w:pPr>
        <w:spacing w:after="120" w:line="276"/>
      </w:pPr>
      <w:r>
        <w:rPr>
          <w:rFonts w:ascii="Arial" w:cs="Arial" w:eastAsia="Arial" w:hAnsi="Arial"/>
          <w:sz w:val="22"/>
          <w:szCs w:val="22"/>
        </w:rPr>
        <w:t xml:space="preserve">An estimated </w:t>
      </w:r>
      <w:r>
        <w:rPr>
          <w:rFonts w:ascii="Arial" w:cs="Arial" w:eastAsia="Arial" w:hAnsi="Arial"/>
          <w:b/>
          <w:bCs/>
          <w:sz w:val="22"/>
          <w:szCs w:val="22"/>
        </w:rPr>
        <w:t xml:space="preserve">74.5% of notes are never referenced by any other note</w:t>
      </w:r>
      <w:r>
        <w:rPr>
          <w:rFonts w:ascii="Arial" w:cs="Arial" w:eastAsia="Arial" w:hAnsi="Arial"/>
          <w:sz w:val="22"/>
          <w:szCs w:val="22"/>
        </w:rPr>
        <w:t xml:space="preserve">. This means the vast majority of the vault is only accessible by browsing the folder hierarchy—not through the link graph. Obsidian’s graph view and backlink features are underutilized as a result.</w:t>
      </w:r>
    </w:p>
    <w:p>
      <w:pPr>
        <w:pStyle w:val="Heading2"/>
        <w:spacing w:after="150" w:before="300"/>
      </w:pPr>
      <w:r>
        <w:t xml:space="preserve">Index Files</w:t>
      </w:r>
    </w:p>
    <w:p>
      <w:pPr>
        <w:spacing w:after="120" w:line="276"/>
      </w:pPr>
      <w:r>
        <w:rPr>
          <w:rFonts w:ascii="Arial" w:cs="Arial" w:eastAsia="Arial" w:hAnsi="Arial"/>
          <w:sz w:val="22"/>
          <w:szCs w:val="22"/>
        </w:rPr>
        <w:t xml:space="preserve">Folder-level parent files (e.g., “5. Linear Algebra.md” at the top of the Linear Algebra folder) exist for most sections but contain only MakeMD plugin metadata or are completely empty. They do not serve as tables of contents or section overviews, which represents a missed opportunity for navigation.</w:t>
      </w:r>
    </w:p>
    <w:p>
      <w:pPr>
        <w:pStyle w:val="Heading2"/>
        <w:spacing w:after="150" w:before="300"/>
      </w:pPr>
      <w:r>
        <w:t xml:space="preserve">Broken Links</w:t>
      </w:r>
    </w:p>
    <w:p>
      <w:pPr>
        <w:spacing w:after="120" w:line="276"/>
      </w:pPr>
      <w:r>
        <w:rPr>
          <w:rFonts w:ascii="Arial" w:cs="Arial" w:eastAsia="Arial" w:hAnsi="Arial"/>
          <w:sz w:val="22"/>
          <w:szCs w:val="22"/>
        </w:rPr>
        <w:t xml:space="preserve">A spot check of wiki-link targets found approximately 90% validity. Most links resolve correctly. The small number of broken links appear to be remnants of filename changes during vault reorganization.</w:t>
      </w:r>
    </w:p>
    <w:p>
      <w:pPr>
        <w:pStyle w:val="Heading1"/>
        <w:spacing w:after="150" w:before="300"/>
      </w:pPr>
      <w:r>
        <w:t xml:space="preserve">6. Metadata &amp; Discoverability</w:t>
      </w:r>
    </w:p>
    <w:p>
      <w:pPr>
        <w:spacing w:after="120" w:line="276"/>
      </w:pPr>
      <w:r>
        <w:rPr>
          <w:rFonts w:ascii="Arial" w:cs="Arial" w:eastAsia="Arial" w:hAnsi="Arial"/>
          <w:sz w:val="22"/>
          <w:szCs w:val="22"/>
        </w:rPr>
        <w:t xml:space="preserve">Metadata usage is minimal. Only </w:t>
      </w:r>
      <w:r>
        <w:rPr>
          <w:rFonts w:ascii="Arial" w:cs="Arial" w:eastAsia="Arial" w:hAnsi="Arial"/>
          <w:b/>
          <w:bCs/>
          <w:sz w:val="22"/>
          <w:szCs w:val="22"/>
        </w:rPr>
        <w:t xml:space="preserve">13% of files have YAML frontmatter</w:t>
      </w:r>
      <w:r>
        <w:rPr>
          <w:rFonts w:ascii="Arial" w:cs="Arial" w:eastAsia="Arial" w:hAnsi="Arial"/>
          <w:sz w:val="22"/>
          <w:szCs w:val="22"/>
        </w:rPr>
        <w:t xml:space="preserve">, and that frontmatter consists almost entirely of MakeMD plugin configuration (filters, sorting, templates)—not semantic metadata like tags, aliases, or creation dates. Fewer than </w:t>
      </w:r>
      <w:r>
        <w:rPr>
          <w:rFonts w:ascii="Arial" w:cs="Arial" w:eastAsia="Arial" w:hAnsi="Arial"/>
          <w:b/>
          <w:bCs/>
          <w:sz w:val="22"/>
          <w:szCs w:val="22"/>
        </w:rPr>
        <w:t xml:space="preserve">1% of files use hashtags</w:t>
      </w:r>
      <w:r>
        <w:rPr>
          <w:rFonts w:ascii="Arial" w:cs="Arial" w:eastAsia="Arial" w:hAnsi="Arial"/>
          <w:sz w:val="22"/>
          <w:szCs w:val="22"/>
        </w:rPr>
        <w:t xml:space="preserve">. This means the vault has no tag-based navigation layer and relies entirely on the folder hierarchy for organization.</w:t>
      </w:r>
    </w:p>
    <w:p>
      <w:pPr>
        <w:spacing w:after="120" w:line="276"/>
      </w:pPr>
      <w:r>
        <w:rPr>
          <w:rFonts w:ascii="Arial" w:cs="Arial" w:eastAsia="Arial" w:hAnsi="Arial"/>
          <w:sz w:val="22"/>
          <w:szCs w:val="22"/>
        </w:rPr>
        <w:t xml:space="preserve">The 16 installed Obsidian plugins (including MakeMD, LaTeX Suite, Desmos, Copilot, and graph-analysis) suggest sophisticated usage, but plugin-generated metadata hasn’t been leveraged for discoverability.</w:t>
      </w:r>
    </w:p>
    <w:p>
      <w:r>
        <w:br w:type="page"/>
      </w:r>
    </w:p>
    <w:p>
      <w:pPr>
        <w:pStyle w:val="Heading1"/>
        <w:spacing w:after="150" w:before="300"/>
      </w:pPr>
      <w:r>
        <w:t xml:space="preserve">7. Recommendations</w:t>
      </w:r>
    </w:p>
    <w:p>
      <w:pPr>
        <w:pStyle w:val="Heading2"/>
        <w:spacing w:after="150" w:before="300"/>
      </w:pPr>
      <w:r>
        <w:t xml:space="preserve">High Priority</w:t>
      </w:r>
    </w:p>
    <w:p>
      <w:pPr>
        <w:pStyle w:val="ListParagraph"/>
        <w:numPr>
          <w:ilvl w:val="0"/>
          <w:numId w:val="4"/>
        </w:numPr>
        <w:spacing w:after="60" w:line="276"/>
      </w:pPr>
      <w:r>
        <w:rPr>
          <w:rFonts w:ascii="Arial" w:cs="Arial" w:eastAsia="Arial" w:hAnsi="Arial"/>
          <w:b/>
          <w:bCs/>
          <w:sz w:val="22"/>
          <w:szCs w:val="22"/>
        </w:rPr>
        <w:t xml:space="preserve">Populate index files. </w:t>
      </w:r>
      <w:r>
        <w:rPr>
          <w:rFonts w:ascii="Arial" w:cs="Arial" w:eastAsia="Arial" w:hAnsi="Arial"/>
          <w:sz w:val="22"/>
          <w:szCs w:val="22"/>
        </w:rPr>
        <w:t xml:space="preserve">Each folder-level parent note should contain a brief section overview and links to all child notes. This turns the folder tree into a navigable outline.</w:t>
      </w:r>
    </w:p>
    <w:p>
      <w:pPr>
        <w:pStyle w:val="ListParagraph"/>
        <w:numPr>
          <w:ilvl w:val="0"/>
          <w:numId w:val="4"/>
        </w:numPr>
        <w:spacing w:after="60" w:line="276"/>
      </w:pPr>
      <w:r>
        <w:rPr>
          <w:rFonts w:ascii="Arial" w:cs="Arial" w:eastAsia="Arial" w:hAnsi="Arial"/>
          <w:b/>
          <w:bCs/>
          <w:sz w:val="22"/>
          <w:szCs w:val="22"/>
        </w:rPr>
        <w:t xml:space="preserve">Increase cross-linking density. </w:t>
      </w:r>
      <w:r>
        <w:rPr>
          <w:rFonts w:ascii="Arial" w:cs="Arial" w:eastAsia="Arial" w:hAnsi="Arial"/>
          <w:sz w:val="22"/>
          <w:szCs w:val="22"/>
        </w:rPr>
        <w:t xml:space="preserve">Target at least 3–5 wiki-links per substantive note. Prioritize cross-domain links (e.g., Probability ↔ Statistics, Linear Algebra ↔ Machine Learning) to surface conceptual connections.</w:t>
      </w:r>
    </w:p>
    <w:p>
      <w:pPr>
        <w:pStyle w:val="ListParagraph"/>
        <w:numPr>
          <w:ilvl w:val="0"/>
          <w:numId w:val="4"/>
        </w:numPr>
        <w:spacing w:after="60" w:line="276"/>
      </w:pPr>
      <w:r>
        <w:rPr>
          <w:rFonts w:ascii="Arial" w:cs="Arial" w:eastAsia="Arial" w:hAnsi="Arial"/>
          <w:b/>
          <w:bCs/>
          <w:sz w:val="22"/>
          <w:szCs w:val="22"/>
        </w:rPr>
        <w:t xml:space="preserve">Complete or remove stubs. </w:t>
      </w:r>
      <w:r>
        <w:rPr>
          <w:rFonts w:ascii="Arial" w:cs="Arial" w:eastAsia="Arial" w:hAnsi="Arial"/>
          <w:sz w:val="22"/>
          <w:szCs w:val="22"/>
        </w:rPr>
        <w:t xml:space="preserve">The ~357 empty files dilute the vault. Either fill them with at least a definition + intuition, or move them to a dedicated “backlog” folder to keep the main tree clean.</w:t>
      </w:r>
    </w:p>
    <w:p>
      <w:pPr>
        <w:pStyle w:val="ListParagraph"/>
        <w:numPr>
          <w:ilvl w:val="0"/>
          <w:numId w:val="4"/>
        </w:numPr>
        <w:spacing w:after="60" w:line="276"/>
      </w:pPr>
      <w:r>
        <w:rPr>
          <w:rFonts w:ascii="Arial" w:cs="Arial" w:eastAsia="Arial" w:hAnsi="Arial"/>
          <w:b/>
          <w:bCs/>
          <w:sz w:val="22"/>
          <w:szCs w:val="22"/>
        </w:rPr>
        <w:t xml:space="preserve">Clean up .trash. </w:t>
      </w:r>
      <w:r>
        <w:rPr>
          <w:rFonts w:ascii="Arial" w:cs="Arial" w:eastAsia="Arial" w:hAnsi="Arial"/>
          <w:sz w:val="22"/>
          <w:szCs w:val="22"/>
        </w:rPr>
        <w:t xml:space="preserve">The 211 trashed files and old course labels are no longer needed. Permanently removing them would reduce vault clutter by ~18%.</w:t>
      </w:r>
    </w:p>
    <w:p>
      <w:pPr>
        <w:pStyle w:val="Heading2"/>
        <w:spacing w:after="150" w:before="300"/>
      </w:pPr>
      <w:r>
        <w:t xml:space="preserve">Medium Priority</w:t>
      </w:r>
    </w:p>
    <w:p>
      <w:pPr>
        <w:pStyle w:val="ListParagraph"/>
        <w:numPr>
          <w:ilvl w:val="0"/>
          <w:numId w:val="5"/>
        </w:numPr>
        <w:spacing w:after="60" w:line="276"/>
      </w:pPr>
      <w:r>
        <w:rPr>
          <w:rFonts w:ascii="Arial" w:cs="Arial" w:eastAsia="Arial" w:hAnsi="Arial"/>
          <w:b/>
          <w:bCs/>
          <w:sz w:val="22"/>
          <w:szCs w:val="22"/>
        </w:rPr>
        <w:t xml:space="preserve">Adopt a frontmatter schema. </w:t>
      </w:r>
      <w:r>
        <w:rPr>
          <w:rFonts w:ascii="Arial" w:cs="Arial" w:eastAsia="Arial" w:hAnsi="Arial"/>
          <w:sz w:val="22"/>
          <w:szCs w:val="22"/>
        </w:rPr>
        <w:t xml:space="preserve">A simple standard (e.g., tags, aliases, course, date-created) would enable tag-based filtering and Dataview queries.</w:t>
      </w:r>
    </w:p>
    <w:p>
      <w:pPr>
        <w:pStyle w:val="ListParagraph"/>
        <w:numPr>
          <w:ilvl w:val="0"/>
          <w:numId w:val="5"/>
        </w:numPr>
        <w:spacing w:after="60" w:line="276"/>
      </w:pPr>
      <w:r>
        <w:rPr>
          <w:rFonts w:ascii="Arial" w:cs="Arial" w:eastAsia="Arial" w:hAnsi="Arial"/>
          <w:b/>
          <w:bCs/>
          <w:sz w:val="22"/>
          <w:szCs w:val="22"/>
        </w:rPr>
        <w:t xml:space="preserve">Standardize example difficulty labels. </w:t>
      </w:r>
      <w:r>
        <w:rPr>
          <w:rFonts w:ascii="Arial" w:cs="Arial" w:eastAsia="Arial" w:hAnsi="Arial"/>
          <w:sz w:val="22"/>
          <w:szCs w:val="22"/>
        </w:rPr>
        <w:t xml:space="preserve">Extend the Physics convention of (Easy)/(Medium)/(Hard) to Mathematics, EE, and CS examples.</w:t>
      </w:r>
    </w:p>
    <w:p>
      <w:pPr>
        <w:pStyle w:val="ListParagraph"/>
        <w:numPr>
          <w:ilvl w:val="0"/>
          <w:numId w:val="5"/>
        </w:numPr>
        <w:spacing w:after="60" w:line="276"/>
      </w:pPr>
      <w:r>
        <w:rPr>
          <w:rFonts w:ascii="Arial" w:cs="Arial" w:eastAsia="Arial" w:hAnsi="Arial"/>
          <w:b/>
          <w:bCs/>
          <w:sz w:val="22"/>
          <w:szCs w:val="22"/>
        </w:rPr>
        <w:t xml:space="preserve">Normalize filename conventions. </w:t>
      </w:r>
      <w:r>
        <w:rPr>
          <w:rFonts w:ascii="Arial" w:cs="Arial" w:eastAsia="Arial" w:hAnsi="Arial"/>
          <w:sz w:val="22"/>
          <w:szCs w:val="22"/>
        </w:rPr>
        <w:t xml:space="preserve">Decide between “2.1 Topic” vs “2.1. Topic” vs “2.1a Topic” and apply consistently. Fix the “Classifcation” typo.</w:t>
      </w:r>
    </w:p>
    <w:p>
      <w:pPr>
        <w:pStyle w:val="ListParagraph"/>
        <w:numPr>
          <w:ilvl w:val="0"/>
          <w:numId w:val="5"/>
        </w:numPr>
        <w:spacing w:after="60" w:line="276"/>
      </w:pPr>
      <w:r>
        <w:rPr>
          <w:rFonts w:ascii="Arial" w:cs="Arial" w:eastAsia="Arial" w:hAnsi="Arial"/>
          <w:b/>
          <w:bCs/>
          <w:sz w:val="22"/>
          <w:szCs w:val="22"/>
        </w:rPr>
        <w:t xml:space="preserve">Add backlinks to Properties sections. </w:t>
      </w:r>
      <w:r>
        <w:rPr>
          <w:rFonts w:ascii="Arial" w:cs="Arial" w:eastAsia="Arial" w:hAnsi="Arial"/>
          <w:sz w:val="22"/>
          <w:szCs w:val="22"/>
        </w:rPr>
        <w:t xml:space="preserve">When a theorem is used in another note, add a “See also” or “Used in” link to create bidirectional navigation.</w:t>
      </w:r>
    </w:p>
    <w:p>
      <w:pPr>
        <w:pStyle w:val="Heading2"/>
        <w:spacing w:after="150" w:before="300"/>
      </w:pPr>
      <w:r>
        <w:t xml:space="preserve">Lower Priority</w:t>
      </w:r>
    </w:p>
    <w:p>
      <w:pPr>
        <w:pStyle w:val="ListParagraph"/>
        <w:numPr>
          <w:ilvl w:val="0"/>
          <w:numId w:val="6"/>
        </w:numPr>
        <w:spacing w:after="60" w:line="276"/>
      </w:pPr>
      <w:r>
        <w:rPr>
          <w:rFonts w:ascii="Arial" w:cs="Arial" w:eastAsia="Arial" w:hAnsi="Arial"/>
          <w:b/>
          <w:bCs/>
          <w:sz w:val="22"/>
          <w:szCs w:val="22"/>
        </w:rPr>
        <w:t xml:space="preserve">Organize attachments by domain. </w:t>
      </w:r>
      <w:r>
        <w:rPr>
          <w:rFonts w:ascii="Arial" w:cs="Arial" w:eastAsia="Arial" w:hAnsi="Arial"/>
          <w:sz w:val="22"/>
          <w:szCs w:val="22"/>
        </w:rPr>
        <w:t xml:space="preserve">The flat /attachments/ folder with 63 files will become harder to manage. Subdirectories by subject would help.</w:t>
      </w:r>
    </w:p>
    <w:p>
      <w:pPr>
        <w:pStyle w:val="ListParagraph"/>
        <w:numPr>
          <w:ilvl w:val="0"/>
          <w:numId w:val="6"/>
        </w:numPr>
        <w:spacing w:after="60" w:line="276"/>
      </w:pPr>
      <w:r>
        <w:rPr>
          <w:rFonts w:ascii="Arial" w:cs="Arial" w:eastAsia="Arial" w:hAnsi="Arial"/>
          <w:b/>
          <w:bCs/>
          <w:sz w:val="22"/>
          <w:szCs w:val="22"/>
        </w:rPr>
        <w:t xml:space="preserve">Add more TikZ diagrams. </w:t>
      </w:r>
      <w:r>
        <w:rPr>
          <w:rFonts w:ascii="Arial" w:cs="Arial" w:eastAsia="Arial" w:hAnsi="Arial"/>
          <w:sz w:val="22"/>
          <w:szCs w:val="22"/>
        </w:rPr>
        <w:t xml:space="preserve">The existing diagrams in LinAlg, Physics, and EE are a strength. Extending visual aids to probability distributions, ML decision boundaries, and NLP architectures would enhance comprehension.</w:t>
      </w:r>
    </w:p>
    <w:p>
      <w:pPr>
        <w:pStyle w:val="ListParagraph"/>
        <w:numPr>
          <w:ilvl w:val="0"/>
          <w:numId w:val="6"/>
        </w:numPr>
        <w:spacing w:after="60" w:line="276"/>
      </w:pPr>
      <w:r>
        <w:rPr>
          <w:rFonts w:ascii="Arial" w:cs="Arial" w:eastAsia="Arial" w:hAnsi="Arial"/>
          <w:b/>
          <w:bCs/>
          <w:sz w:val="22"/>
          <w:szCs w:val="22"/>
        </w:rPr>
        <w:t xml:space="preserve">Expand Physics beyond Classical Mechanics. </w:t>
      </w:r>
      <w:r>
        <w:rPr>
          <w:rFonts w:ascii="Arial" w:cs="Arial" w:eastAsia="Arial" w:hAnsi="Arial"/>
          <w:sz w:val="22"/>
          <w:szCs w:val="22"/>
        </w:rPr>
        <w:t xml:space="preserve">Even placeholder sections for E&amp;M, Thermo, and Quantum would establish the structure for future growth.</w:t>
      </w:r>
    </w:p>
    <w:p>
      <w:pPr>
        <w:spacing w:before="400"/>
      </w:pPr>
    </w:p>
    <w:p>
      <w:pPr>
        <w:pBdr>
          <w:top w:val="single" w:color="2E5090" w:sz="2" w:space="8"/>
        </w:pBdr>
      </w:pPr>
    </w:p>
    <w:p>
      <w:pPr>
        <w:pStyle w:val="Heading1"/>
        <w:spacing w:after="150" w:before="300"/>
      </w:pPr>
      <w:r>
        <w:t xml:space="preserve">Conclusion</w:t>
      </w:r>
    </w:p>
    <w:p>
      <w:pPr>
        <w:spacing w:after="120" w:line="276"/>
      </w:pPr>
      <w:r>
        <w:rPr>
          <w:rFonts w:ascii="Arial" w:cs="Arial" w:eastAsia="Arial" w:hAnsi="Arial"/>
          <w:sz w:val="22"/>
          <w:szCs w:val="22"/>
        </w:rPr>
        <w:t xml:space="preserve">Project Alexandria is an impressively organized personal knowledge base with a strong and consistent note template, rigorous mathematical content, and thoughtful use of Obsidian-native features like callouts, TikZ rendering, and collapsible examples. Its primary limitation is that it currently functions more as a hierarchical reference library than a densely interconnected knowledge graph. By investing in cross-linking, index file population, and stub completion, the vault can evolve into a powerful tool for both review and synthesis across disciplines.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4"/>
      </w:pBdr>
    </w:pPr>
    <w:r>
      <w:rPr>
        <w:rFonts w:ascii="Arial" w:cs="Arial" w:eastAsia="Arial" w:hAnsi="Arial"/>
        <w:i/>
        <w:iCs/>
        <w:color w:val="999999"/>
        <w:sz w:val="18"/>
        <w:szCs w:val="18"/>
      </w:rPr>
      <w:t xml:space="preserve">Project Alexandria — Vault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A6EA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2026-04-06T08:21:39.373Z</dcterms:created>
  <dcterms:modified xsi:type="dcterms:W3CDTF">2026-04-06T08:21:39.379Z</dcterms:modified>
</cp:coreProperties>
</file>

<file path=docProps/custom.xml><?xml version="1.0" encoding="utf-8"?>
<Properties xmlns="http://schemas.openxmlformats.org/officeDocument/2006/custom-properties" xmlns:vt="http://schemas.openxmlformats.org/officeDocument/2006/docPropsVTypes"/>
</file>