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西游记项目开发流程</w:t>
        <w:br/>
        <w:t>与工具架构说明</w:t>
      </w:r>
    </w:p>
    <w:p>
      <w:pPr>
        <w:pStyle w:val="Subtitle"/>
      </w:pPr>
      <w:r>
        <w:t>开发工具 依赖库 架构分层 开发与交付流程</w:t>
      </w:r>
    </w:p>
    <w:p>
      <w:r>
        <w:t>版本 1.0　整理日期 2026年9月5日　代码基线 0d81899</w:t>
      </w:r>
    </w:p>
    <w:p>
      <w:r>
        <w:t>本文用于项目继续开发、人员交接和演示前自检。开发者可以据此准备环境、找到代码位置、完成一个功能并验证交付。当前项目采用 Vue 3 前端与 Spring Boot 五模块后端，正式数据环境使用 MySQL 和 Redis。</w:t>
      </w:r>
    </w:p>
    <w:p>
      <w:r>
        <w:t>项目是可双实例运行的模块化单体，不是五个独立微服务。双击演示、轻量学习模式和双实例验收模式的依赖不同，开发前应先选定运行方式。</w:t>
      </w:r>
    </w:p>
    <w:p>
      <w:pPr>
        <w:pStyle w:val="Heading1"/>
      </w:pPr>
      <w:r>
        <w:t>1 开发环境与工具包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2491"/>
        <w:gridCol w:w="5803"/>
      </w:tblGrid>
      <w:tr>
        <w:trPr>
          <w:cantSplit/>
          <w:tblHeader/>
        </w:trPr>
        <w:tc>
          <w:tcPr>
            <w:tcW w:type="dxa" w:w="1872"/>
            <w:vAlign w:val="center"/>
            <w:shd w:fill="24405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2491"/>
            <w:vAlign w:val="center"/>
            <w:shd w:fill="24405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20"/>
              </w:rPr>
              <w:t>项目版本或要求</w:t>
            </w:r>
          </w:p>
        </w:tc>
        <w:tc>
          <w:tcPr>
            <w:tcW w:type="dxa" w:w="5803"/>
            <w:vAlign w:val="center"/>
            <w:shd w:fill="24405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20"/>
              </w:rPr>
              <w:t>用途与使用方式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JDK</w:t>
            </w:r>
          </w:p>
        </w:tc>
        <w:tc>
          <w:tcPr>
            <w:tcW w:type="dxa" w:w="2491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Java 17</w:t>
            </w:r>
          </w:p>
        </w:tc>
        <w:tc>
          <w:tcPr>
            <w:tcW w:type="dxa" w:w="5803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编译及运行后端；与 CI 和容器中的 Java 主版本保持一致。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Maven Wrapper</w:t>
            </w:r>
          </w:p>
        </w:tc>
        <w:tc>
          <w:tcPr>
            <w:tcW w:type="dxa" w:w="2491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3.9.16</w:t>
            </w:r>
          </w:p>
        </w:tc>
        <w:tc>
          <w:tcPr>
            <w:tcW w:type="dxa" w:w="5803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优先使用仓库 mvnw.cmd；首次运行需下载依赖。Docker 构建阶段使用 Maven 3.9.9。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Node.js 与 npm</w:t>
            </w:r>
          </w:p>
        </w:tc>
        <w:tc>
          <w:tcPr>
            <w:tcW w:type="dxa" w:w="2491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CI 固定 Node 20.18.1</w:t>
            </w:r>
          </w:p>
        </w:tc>
        <w:tc>
          <w:tcPr>
            <w:tcW w:type="dxa" w:w="5803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安装、开发、测试和打包前端；Maven verify 的覆盖率脚本也需要 Node。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Docker Desktop</w:t>
            </w:r>
          </w:p>
        </w:tc>
        <w:tc>
          <w:tcPr>
            <w:tcW w:type="dxa" w:w="2491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Linux 容器与 Compose v2</w:t>
            </w:r>
          </w:p>
        </w:tc>
        <w:tc>
          <w:tcPr>
            <w:tcW w:type="dxa" w:w="5803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运行 MySQL、Redis、演示环境和容器集成测试；先确认 docker info 正常。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Git 与 GitHub</w:t>
            </w:r>
          </w:p>
        </w:tc>
        <w:tc>
          <w:tcPr>
            <w:tcW w:type="dxa" w:w="2491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版本未在仓库固定</w:t>
            </w:r>
          </w:p>
        </w:tc>
        <w:tc>
          <w:tcPr>
            <w:tcW w:type="dxa" w:w="5803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版本管理、代码协作和 Actions 验证；新功能应使用明确的开发分支。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PowerShell</w:t>
            </w:r>
          </w:p>
        </w:tc>
        <w:tc>
          <w:tcPr>
            <w:tcW w:type="dxa" w:w="2491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Windows 脚本环境</w:t>
            </w:r>
          </w:p>
        </w:tc>
        <w:tc>
          <w:tcPr>
            <w:tcW w:type="dxa" w:w="5803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运行 scripts/demo.ps1；双击批处理入口会调用它。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编辑器与调试工具</w:t>
            </w:r>
          </w:p>
        </w:tc>
        <w:tc>
          <w:tcPr>
            <w:tcW w:type="dxa" w:w="2491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IDE 可自行选择</w:t>
            </w:r>
          </w:p>
        </w:tc>
        <w:tc>
          <w:tcPr>
            <w:tcW w:type="dxa" w:w="5803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可选 IntelliJ IDEA 或 VS Code；浏览器开发者工具用于网络、控制台和存储调试。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接口调试</w:t>
            </w:r>
          </w:p>
        </w:tc>
        <w:tc>
          <w:tcPr>
            <w:tcW w:type="dxa" w:w="2491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项目内置 Swagger UI</w:t>
            </w:r>
          </w:p>
        </w:tc>
        <w:tc>
          <w:tcPr>
            <w:tcW w:type="dxa" w:w="5803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查看 REST 接口与模型；Postman 等客户端为可选工具，不是运行依赖。</w:t>
            </w:r>
          </w:p>
        </w:tc>
      </w:tr>
    </w:tbl>
    <w:p>
      <w:pPr>
        <w:spacing w:after="0" w:line="120" w:lineRule="exact" w:before="0"/>
      </w:pPr>
    </w:p>
    <w:p>
      <w:r>
        <w:t>仅运行双击演示时，不必在宿主机单独安装 Maven、Node 或 MySQL；Docker 多阶段构建会完成编译。只有本机修改、调试和执行本机验证命令时，才需要相应开发工具。</w:t>
      </w:r>
    </w:p>
    <w:p>
      <w:r>
        <w:br w:type="page"/>
      </w:r>
    </w:p>
    <w:p>
      <w:pPr>
        <w:pStyle w:val="Heading1"/>
      </w:pPr>
      <w:r>
        <w:t>2 主要依赖库与基础服务</w:t>
      </w:r>
    </w:p>
    <w:p>
      <w:r>
        <w:t>后端未单独指定版本的依赖由 Spring Boot 的依赖管理统一约束。前端下表保留 package.json 中的声明范围，实际安装版本以 package-lock.json 和 npm ci 为准。</w:t>
      </w:r>
    </w:p>
    <w:p>
      <w:pPr>
        <w:pStyle w:val="Heading2"/>
      </w:pPr>
      <w:r>
        <w:t>后端依赖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41"/>
        <w:gridCol w:w="1958"/>
        <w:gridCol w:w="4867"/>
      </w:tblGrid>
      <w:tr>
        <w:trPr>
          <w:cantSplit/>
          <w:tblHeader/>
        </w:trPr>
        <w:tc>
          <w:tcPr>
            <w:tcW w:type="dxa" w:w="3341"/>
            <w:vAlign w:val="center"/>
            <w:shd w:fill="24405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20"/>
              </w:rPr>
              <w:t>依赖库</w:t>
            </w:r>
          </w:p>
        </w:tc>
        <w:tc>
          <w:tcPr>
            <w:tcW w:type="dxa" w:w="1958"/>
            <w:vAlign w:val="center"/>
            <w:shd w:fill="24405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4867"/>
            <w:vAlign w:val="center"/>
            <w:shd w:fill="24405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20"/>
              </w:rPr>
              <w:t>在项目中的作用</w:t>
            </w:r>
          </w:p>
        </w:tc>
      </w:tr>
      <w:tr>
        <w:trPr>
          <w:cantSplit/>
        </w:trPr>
        <w:tc>
          <w:tcPr>
            <w:tcW w:type="dxa" w:w="3341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Spring Boot</w:t>
            </w:r>
          </w:p>
        </w:tc>
        <w:tc>
          <w:tcPr>
            <w:tcW w:type="dxa" w:w="19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3.4.1</w:t>
            </w:r>
          </w:p>
        </w:tc>
        <w:tc>
          <w:tcPr>
            <w:tcW w:type="dxa" w:w="4867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应用启动、自动配置及依赖管理。</w:t>
            </w:r>
          </w:p>
        </w:tc>
      </w:tr>
      <w:tr>
        <w:trPr>
          <w:cantSplit/>
        </w:trPr>
        <w:tc>
          <w:tcPr>
            <w:tcW w:type="dxa" w:w="3341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Spring Web 与 WebSocket</w:t>
            </w:r>
          </w:p>
        </w:tc>
        <w:tc>
          <w:tcPr>
            <w:tcW w:type="dxa" w:w="1958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由 Boot 管理</w:t>
            </w:r>
          </w:p>
        </w:tc>
        <w:tc>
          <w:tcPr>
            <w:tcW w:type="dxa" w:w="4867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REST 接口和 STOMP 实时通信。</w:t>
            </w:r>
          </w:p>
        </w:tc>
      </w:tr>
      <w:tr>
        <w:trPr>
          <w:cantSplit/>
        </w:trPr>
        <w:tc>
          <w:tcPr>
            <w:tcW w:type="dxa" w:w="3341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Spring Security 与 Validation</w:t>
            </w:r>
          </w:p>
        </w:tc>
        <w:tc>
          <w:tcPr>
            <w:tcW w:type="dxa" w:w="19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由 Boot 管理</w:t>
            </w:r>
          </w:p>
        </w:tc>
        <w:tc>
          <w:tcPr>
            <w:tcW w:type="dxa" w:w="4867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鉴权、BCrypt 密码哈希及请求参数校验。</w:t>
            </w:r>
          </w:p>
        </w:tc>
      </w:tr>
      <w:tr>
        <w:trPr>
          <w:cantSplit/>
        </w:trPr>
        <w:tc>
          <w:tcPr>
            <w:tcW w:type="dxa" w:w="3341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Spring Data JPA 与 Flyway</w:t>
            </w:r>
          </w:p>
        </w:tc>
        <w:tc>
          <w:tcPr>
            <w:tcW w:type="dxa" w:w="1958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由 Boot 管理</w:t>
            </w:r>
          </w:p>
        </w:tc>
        <w:tc>
          <w:tcPr>
            <w:tcW w:type="dxa" w:w="4867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访问 MySQL；使用版本化 SQL 维护表结构。</w:t>
            </w:r>
          </w:p>
        </w:tc>
      </w:tr>
      <w:tr>
        <w:trPr>
          <w:cantSplit/>
        </w:trPr>
        <w:tc>
          <w:tcPr>
            <w:tcW w:type="dxa" w:w="3341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Redis 与 Redisson</w:t>
            </w:r>
          </w:p>
        </w:tc>
        <w:tc>
          <w:tcPr>
            <w:tcW w:type="dxa" w:w="19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Redisson 3.40.2</w:t>
            </w:r>
          </w:p>
        </w:tc>
        <w:tc>
          <w:tcPr>
            <w:tcW w:type="dxa" w:w="4867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共享运行状态、房间锁、会话锁及跨实例通知；适配包为 spring-data-34。</w:t>
            </w:r>
          </w:p>
        </w:tc>
      </w:tr>
      <w:tr>
        <w:trPr>
          <w:cantSplit/>
        </w:trPr>
        <w:tc>
          <w:tcPr>
            <w:tcW w:type="dxa" w:w="3341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JJWT 与 springdoc</w:t>
            </w:r>
          </w:p>
        </w:tc>
        <w:tc>
          <w:tcPr>
            <w:tcW w:type="dxa" w:w="1958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0.12.6 / 2.7.0</w:t>
            </w:r>
          </w:p>
        </w:tc>
        <w:tc>
          <w:tcPr>
            <w:tcW w:type="dxa" w:w="4867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生成校验 JWT；生成 OpenAPI 与 Swagger UI。</w:t>
            </w:r>
          </w:p>
        </w:tc>
      </w:tr>
      <w:tr>
        <w:trPr>
          <w:cantSplit/>
        </w:trPr>
        <w:tc>
          <w:tcPr>
            <w:tcW w:type="dxa" w:w="3341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Jackson 与 H2</w:t>
            </w:r>
          </w:p>
        </w:tc>
        <w:tc>
          <w:tcPr>
            <w:tcW w:type="dxa" w:w="19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由 Boot 管理</w:t>
            </w:r>
          </w:p>
        </w:tc>
        <w:tc>
          <w:tcPr>
            <w:tcW w:type="dxa" w:w="4867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JSON 序列化；H2 用于轻量模式和部分测试。</w:t>
            </w:r>
          </w:p>
        </w:tc>
      </w:tr>
      <w:tr>
        <w:trPr>
          <w:cantSplit/>
        </w:trPr>
        <w:tc>
          <w:tcPr>
            <w:tcW w:type="dxa" w:w="3341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Actuator 与 Micrometer</w:t>
            </w:r>
          </w:p>
        </w:tc>
        <w:tc>
          <w:tcPr>
            <w:tcW w:type="dxa" w:w="1958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由 Boot 管理</w:t>
            </w:r>
          </w:p>
        </w:tc>
        <w:tc>
          <w:tcPr>
            <w:tcW w:type="dxa" w:w="4867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健康检查、指标和链路追踪；JSON 日志编码器为 7.4。</w:t>
            </w:r>
          </w:p>
        </w:tc>
      </w:tr>
      <w:tr>
        <w:trPr>
          <w:cantSplit/>
        </w:trPr>
        <w:tc>
          <w:tcPr>
            <w:tcW w:type="dxa" w:w="3341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JUnit 与 Mockito 等</w:t>
            </w:r>
          </w:p>
        </w:tc>
        <w:tc>
          <w:tcPr>
            <w:tcW w:type="dxa" w:w="195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部分由 Boot 管理</w:t>
            </w:r>
          </w:p>
        </w:tc>
        <w:tc>
          <w:tcPr>
            <w:tcW w:type="dxa" w:w="4867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单元测试；ArchUnit 1.3.0、Testcontainers 1.21.3、JaCoCo 0.8.12。</w:t>
            </w:r>
          </w:p>
        </w:tc>
      </w:tr>
    </w:tbl>
    <w:p>
      <w:pPr>
        <w:spacing w:after="0" w:line="120" w:lineRule="exact" w:before="0"/>
      </w:pPr>
    </w:p>
    <w:p>
      <w:pPr>
        <w:pStyle w:val="Heading2"/>
      </w:pPr>
      <w:r>
        <w:t>前端依赖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41"/>
        <w:gridCol w:w="2880"/>
        <w:gridCol w:w="3946"/>
      </w:tblGrid>
      <w:tr>
        <w:trPr>
          <w:cantSplit/>
          <w:tblHeader/>
        </w:trPr>
        <w:tc>
          <w:tcPr>
            <w:tcW w:type="dxa" w:w="3341"/>
            <w:vAlign w:val="center"/>
            <w:shd w:fill="24405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20"/>
              </w:rPr>
              <w:t>依赖库</w:t>
            </w:r>
          </w:p>
        </w:tc>
        <w:tc>
          <w:tcPr>
            <w:tcW w:type="dxa" w:w="2880"/>
            <w:vAlign w:val="center"/>
            <w:shd w:fill="24405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20"/>
              </w:rPr>
              <w:t>声明版本</w:t>
            </w:r>
          </w:p>
        </w:tc>
        <w:tc>
          <w:tcPr>
            <w:tcW w:type="dxa" w:w="3946"/>
            <w:vAlign w:val="center"/>
            <w:shd w:fill="24405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20"/>
              </w:rPr>
              <w:t>在项目中的作用</w:t>
            </w:r>
          </w:p>
        </w:tc>
      </w:tr>
      <w:tr>
        <w:trPr>
          <w:cantSplit/>
        </w:trPr>
        <w:tc>
          <w:tcPr>
            <w:tcW w:type="dxa" w:w="3341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Vue / Vue Router / Pinia</w:t>
            </w:r>
          </w:p>
        </w:tc>
        <w:tc>
          <w:tcPr>
            <w:tcW w:type="dxa" w:w="2880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^3.4.21 / ^4.3.0 / ^2.1.7</w:t>
            </w:r>
          </w:p>
        </w:tc>
        <w:tc>
          <w:tcPr>
            <w:tcW w:type="dxa" w:w="3946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页面组件、路由和前端状态管理。</w:t>
            </w:r>
          </w:p>
        </w:tc>
      </w:tr>
      <w:tr>
        <w:trPr>
          <w:cantSplit/>
        </w:trPr>
        <w:tc>
          <w:tcPr>
            <w:tcW w:type="dxa" w:w="3341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TypeScript / Vite</w:t>
            </w:r>
          </w:p>
        </w:tc>
        <w:tc>
          <w:tcPr>
            <w:tcW w:type="dxa" w:w="2880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^5.4.2 / ^6.4.3</w:t>
            </w:r>
          </w:p>
        </w:tc>
        <w:tc>
          <w:tcPr>
            <w:tcW w:type="dxa" w:w="3946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类型检查及开发构建；vue-tsc ^2.0.6。</w:t>
            </w:r>
          </w:p>
        </w:tc>
      </w:tr>
      <w:tr>
        <w:trPr>
          <w:cantSplit/>
        </w:trPr>
        <w:tc>
          <w:tcPr>
            <w:tcW w:type="dxa" w:w="3341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Three.js / STOMP</w:t>
            </w:r>
          </w:p>
        </w:tc>
        <w:tc>
          <w:tcPr>
            <w:tcW w:type="dxa" w:w="2880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^0.185.1 / ^7.3.0</w:t>
            </w:r>
          </w:p>
        </w:tc>
        <w:tc>
          <w:tcPr>
            <w:tcW w:type="dxa" w:w="3946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战斗三维表现及 WebSocket 消息订阅。</w:t>
            </w:r>
          </w:p>
        </w:tc>
      </w:tr>
      <w:tr>
        <w:trPr>
          <w:cantSplit/>
        </w:trPr>
        <w:tc>
          <w:tcPr>
            <w:tcW w:type="dxa" w:w="3341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Vitest / Vue Test Utils</w:t>
            </w:r>
          </w:p>
        </w:tc>
        <w:tc>
          <w:tcPr>
            <w:tcW w:type="dxa" w:w="2880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^3.2.6 / ^2.4.6</w:t>
            </w:r>
          </w:p>
        </w:tc>
        <w:tc>
          <w:tcPr>
            <w:tcW w:type="dxa" w:w="3946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前端单元测试；jsdom ^25.0.1。</w:t>
            </w:r>
          </w:p>
        </w:tc>
      </w:tr>
      <w:tr>
        <w:trPr>
          <w:cantSplit/>
        </w:trPr>
        <w:tc>
          <w:tcPr>
            <w:tcW w:type="dxa" w:w="3341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Playwright</w:t>
            </w:r>
          </w:p>
        </w:tc>
        <w:tc>
          <w:tcPr>
            <w:tcW w:type="dxa" w:w="2880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^1.55.0</w:t>
            </w:r>
          </w:p>
        </w:tc>
        <w:tc>
          <w:tcPr>
            <w:tcW w:type="dxa" w:w="3946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浏览器端到端测试。</w:t>
            </w:r>
          </w:p>
        </w:tc>
      </w:tr>
    </w:tbl>
    <w:p>
      <w:pPr>
        <w:spacing w:after="0" w:line="120" w:lineRule="exact" w:before="0"/>
      </w:pPr>
    </w:p>
    <w:p>
      <w:r>
        <w:t>容器固定版本：MySQL 8.0.39、Redis 7.2.5、Nginx 1.27.1、Prometheus 2.54.1、Grafana 11.2.0、Zipkin 3.4.2。监控组件主要随双实例验收环境运行，轻量演示无需全部启动。</w:t>
      </w:r>
    </w:p>
    <w:p>
      <w:r>
        <w:br w:type="page"/>
      </w:r>
    </w:p>
    <w:p>
      <w:pPr>
        <w:pStyle w:val="Heading1"/>
      </w:pPr>
      <w:r>
        <w:t>3 系统架构与模块职责</w:t>
      </w:r>
    </w:p>
    <w:p>
      <w:pPr>
        <w:pStyle w:val="Heading2"/>
      </w:pPr>
      <w:r>
        <w:t>运行结构</w:t>
      </w:r>
    </w:p>
    <w:p>
      <w:r>
        <w:t>单实例演示：浏览器 → Spring Boot 应用 → MySQL 与 Redis。前端打包后由应用提供静态页面，默认本机访问地址为 http://localhost:8080/。</w:t>
      </w:r>
    </w:p>
    <w:p>
      <w:r>
        <w:t>双实例验收：浏览器 → Nginx → app-1 或 app-2。两个实例运行同一套后端代码并共享 MySQL、Redis；HTTP 和 WebSocket 都经由入口转发。Prometheus 抓取指标，Grafana 展示指标，Zipkin 接收链路数据。</w:t>
      </w:r>
    </w:p>
    <w:p>
      <w:pPr>
        <w:pStyle w:val="Heading2"/>
      </w:pPr>
      <w:r>
        <w:t>后端五模块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9"/>
        <w:gridCol w:w="3600"/>
        <w:gridCol w:w="4018"/>
      </w:tblGrid>
      <w:tr>
        <w:trPr>
          <w:cantSplit/>
          <w:tblHeader/>
        </w:trPr>
        <w:tc>
          <w:tcPr>
            <w:tcW w:type="dxa" w:w="2549"/>
            <w:vAlign w:val="center"/>
            <w:shd w:fill="24405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600"/>
            <w:vAlign w:val="center"/>
            <w:shd w:fill="24405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20"/>
              </w:rPr>
              <w:t>主要职责</w:t>
            </w:r>
          </w:p>
        </w:tc>
        <w:tc>
          <w:tcPr>
            <w:tcW w:type="dxa" w:w="4018"/>
            <w:vAlign w:val="center"/>
            <w:shd w:fill="24405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20"/>
              </w:rPr>
              <w:t>修改边界</w:t>
            </w:r>
          </w:p>
        </w:tc>
      </w:tr>
      <w:tr>
        <w:trPr>
          <w:cantSplit/>
        </w:trPr>
        <w:tc>
          <w:tcPr>
            <w:tcW w:type="dxa" w:w="2549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xiyouji-common</w:t>
            </w:r>
          </w:p>
        </w:tc>
        <w:tc>
          <w:tcPr>
            <w:tcW w:type="dxa" w:w="3600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公共常量、异常、错误定义。</w:t>
            </w:r>
          </w:p>
        </w:tc>
        <w:tc>
          <w:tcPr>
            <w:tcW w:type="dxa" w:w="401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仅放确实跨模块共用的基础类型。</w:t>
            </w:r>
          </w:p>
        </w:tc>
      </w:tr>
      <w:tr>
        <w:trPr>
          <w:cantSplit/>
        </w:trPr>
        <w:tc>
          <w:tcPr>
            <w:tcW w:type="dxa" w:w="2549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xiyouji-domain</w:t>
            </w:r>
          </w:p>
        </w:tc>
        <w:tc>
          <w:tcPr>
            <w:tcW w:type="dxa" w:w="3600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游戏实体、枚举及领域状态。</w:t>
            </w:r>
          </w:p>
        </w:tc>
        <w:tc>
          <w:tcPr>
            <w:tcW w:type="dxa" w:w="4018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表达规则和状态；当前保留 JPA 与 Jackson 注解。</w:t>
            </w:r>
          </w:p>
        </w:tc>
      </w:tr>
      <w:tr>
        <w:trPr>
          <w:cantSplit/>
        </w:trPr>
        <w:tc>
          <w:tcPr>
            <w:tcW w:type="dxa" w:w="2549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xiyouji-application</w:t>
            </w:r>
          </w:p>
        </w:tc>
        <w:tc>
          <w:tcPr>
            <w:tcW w:type="dxa" w:w="3600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业务服务、用例编排、DTO 和存储端口。</w:t>
            </w:r>
          </w:p>
        </w:tc>
        <w:tc>
          <w:tcPr>
            <w:tcW w:type="dxa" w:w="401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组织鉴权、游戏及房间操作；当前仍依赖 Spring、JWT 与 Jackson。</w:t>
            </w:r>
          </w:p>
        </w:tc>
      </w:tr>
      <w:tr>
        <w:trPr>
          <w:cantSplit/>
        </w:trPr>
        <w:tc>
          <w:tcPr>
            <w:tcW w:type="dxa" w:w="2549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xiyouji-infrastructure</w:t>
            </w:r>
          </w:p>
        </w:tc>
        <w:tc>
          <w:tcPr>
            <w:tcW w:type="dxa" w:w="3600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JPA 仓储、Redis 存储、锁和事件基础设施。</w:t>
            </w:r>
          </w:p>
        </w:tc>
        <w:tc>
          <w:tcPr>
            <w:tcW w:type="dxa" w:w="4018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实现存储与通信端口；不把外部系统细节扩散到页面层。</w:t>
            </w:r>
          </w:p>
        </w:tc>
      </w:tr>
      <w:tr>
        <w:trPr>
          <w:cantSplit/>
        </w:trPr>
        <w:tc>
          <w:tcPr>
            <w:tcW w:type="dxa" w:w="2549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xiyouji-bootstrap</w:t>
            </w:r>
          </w:p>
        </w:tc>
        <w:tc>
          <w:tcPr>
            <w:tcW w:type="dxa" w:w="3600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应用入口、控制器、安全配置、资源、迁移和测试。</w:t>
            </w:r>
          </w:p>
        </w:tc>
        <w:tc>
          <w:tcPr>
            <w:tcW w:type="dxa" w:w="401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装配全部模块，最终打包为可运行 JAR。</w:t>
            </w:r>
          </w:p>
        </w:tc>
      </w:tr>
    </w:tbl>
    <w:p>
      <w:pPr>
        <w:spacing w:after="0" w:line="120" w:lineRule="exact" w:before="0"/>
      </w:pPr>
    </w:p>
    <w:p>
      <w:r>
        <w:t>主要依赖方向为 bootstrap → infrastructure → application → domain → common，部分上层模块也直接依赖更基础的模块。该分层借鉴领域驱动设计，但当前并非完全隔离框架的纯领域架构。</w:t>
      </w:r>
    </w:p>
    <w:p>
      <w:pPr>
        <w:pStyle w:val="Heading2"/>
      </w:pPr>
      <w:r>
        <w:t>一次操作的处理路径</w:t>
      </w:r>
    </w:p>
    <w:p>
      <w:r>
        <w:t>例如领取奖励：Vue 页面提交 REST 请求；安全与幂等处理校验请求；控制器调用应用服务；服务通过锁端口取得锁后读取权威状态、检查版本和规则，再保存变更；返回最新结果，必要时通过 Redis Pub/Sub 通知其他实例上的订阅者。</w:t>
      </w:r>
    </w:p>
    <w:p>
      <w:r>
        <w:t>写操作应遵守现有 X-Idempotency-Key 与状态版本约定，处理重试和并发冲突。WebSocket 通知用于告知状态变化；发生断线或重连时，客户端重新通过 REST 获取完整状态，不能把 Pub/Sub 当成可靠消息队列。</w:t>
      </w:r>
    </w:p>
    <w:p>
      <w:r>
        <w:br w:type="page"/>
      </w:r>
    </w:p>
    <w:p>
      <w:pPr>
        <w:pStyle w:val="Heading1"/>
      </w:pPr>
      <w:r>
        <w:t>4 目录结构与数据归属</w:t>
      </w:r>
    </w:p>
    <w:p>
      <w:pPr>
        <w:pStyle w:val="Heading2"/>
      </w:pPr>
      <w:r>
        <w:t>目录导航</w:t>
      </w:r>
    </w:p>
    <w:p>
      <w:pPr>
        <w:spacing w:after="140" w:line="252" w:lineRule="auto"/>
      </w:pPr>
      <w:r>
        <w:rPr>
          <w:rFonts w:ascii="Consolas" w:hAnsi="Consolas" w:eastAsia="Microsoft YaHei"/>
          <w:sz w:val="18"/>
        </w:rPr>
        <w:t>xiyouji/</w:t>
        <w:br/>
        <w:t xml:space="preserve">  frontend-vue/            页面 组件 状态管理与前端测试</w:t>
        <w:br/>
        <w:t xml:space="preserve">  xiyouji-common/          公共基础定义</w:t>
        <w:br/>
        <w:t xml:space="preserve">  xiyouji-domain/          领域模型</w:t>
        <w:br/>
        <w:t xml:space="preserve">  xiyouji-application/     应用服务与端口</w:t>
        <w:br/>
        <w:t xml:space="preserve">  xiyouji-infrastructure/  数据访问与基础设施</w:t>
        <w:br/>
        <w:t xml:space="preserve">  xiyouji-bootstrap/       启动 接口 配置 迁移与后端测试</w:t>
        <w:br/>
        <w:t xml:space="preserve">  assets/images/           游戏插图唯一源目录</w:t>
        <w:br/>
        <w:t xml:space="preserve">  docs/                    使用说明 验证资料与截图</w:t>
        <w:br/>
        <w:t xml:space="preserve">    archive/               历史设计稿与演示材料</w:t>
        <w:br/>
        <w:t xml:space="preserve">  需求文档/                Word 需求 开发日志与开发说明</w:t>
        <w:br/>
        <w:t xml:space="preserve">  scripts/                 演示 集群 部署和覆盖率脚本</w:t>
        <w:br/>
        <w:t xml:space="preserve">  monitoring/  nginx/      监控与入口配置</w:t>
        <w:br/>
        <w:t xml:space="preserve">  k8s/                     Kubernetes 部署草案</w:t>
        <w:br/>
        <w:t xml:space="preserve">  performance/             压测场景与基线证据</w:t>
        <w:br/>
        <w:t xml:space="preserve">  .github/workflows/       持续集成与镜像发布</w:t>
        <w:br/>
        <w:t xml:space="preserve">  Dockerfile               前端构建 后端打包 运行镜像</w:t>
        <w:br/>
        <w:t xml:space="preserve">  docker-compose*.yml      单实例 双实例与 E2E 编排</w:t>
        <w:br/>
        <w:t xml:space="preserve">  启动演示.bat  停止演示.bat  本机双击入口</w:t>
      </w:r>
    </w:p>
    <w:p>
      <w:pPr>
        <w:pStyle w:val="Heading2"/>
      </w:pPr>
      <w:r>
        <w:t>数据保存在哪里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4248"/>
        <w:gridCol w:w="4262"/>
      </w:tblGrid>
      <w:tr>
        <w:trPr>
          <w:cantSplit/>
          <w:tblHeader/>
        </w:trPr>
        <w:tc>
          <w:tcPr>
            <w:tcW w:type="dxa" w:w="1656"/>
            <w:vAlign w:val="center"/>
            <w:shd w:fill="24405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4248"/>
            <w:vAlign w:val="center"/>
            <w:shd w:fill="24405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20"/>
              </w:rPr>
              <w:t>保存内容</w:t>
            </w:r>
          </w:p>
        </w:tc>
        <w:tc>
          <w:tcPr>
            <w:tcW w:type="dxa" w:w="4262"/>
            <w:vAlign w:val="center"/>
            <w:shd w:fill="24405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20"/>
              </w:rPr>
              <w:t>生命周期与注意事项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MySQL</w:t>
            </w:r>
          </w:p>
        </w:tc>
        <w:tc>
          <w:tcPr>
            <w:tcW w:type="dxa" w:w="424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注册账号、用户名、密码哈希；角色、卡牌、敌人和遗物等目录数据。</w:t>
            </w:r>
          </w:p>
        </w:tc>
        <w:tc>
          <w:tcPr>
            <w:tcW w:type="dxa" w:w="4262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数据库卷保存；密码为 BCrypt 哈希，不保存可读明文密码。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Redis</w:t>
            </w:r>
          </w:p>
        </w:tc>
        <w:tc>
          <w:tcPr>
            <w:tcW w:type="dxa" w:w="4248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单人会话、多人房间和战斗；幂等记录、锁及通知。</w:t>
            </w:r>
          </w:p>
        </w:tc>
        <w:tc>
          <w:tcPr>
            <w:tcW w:type="dxa" w:w="4262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会话写入 TTL 为 24 小时，房间与多人战斗为 2 小时；写回会更新期限。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浏览器 localStorage</w:t>
            </w:r>
          </w:p>
        </w:tc>
        <w:tc>
          <w:tcPr>
            <w:tcW w:type="dxa" w:w="4248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JWT、身份资料、会话指针；当前游客身份最多三个存档索引。</w:t>
            </w:r>
          </w:p>
        </w:tc>
        <w:tc>
          <w:tcPr>
            <w:tcW w:type="dxa" w:w="4262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限当前浏览器与站点；清除数据或更换设备不会自动恢复这些索引。</w:t>
            </w:r>
          </w:p>
        </w:tc>
      </w:tr>
    </w:tbl>
    <w:p>
      <w:pPr>
        <w:spacing w:after="0" w:line="120" w:lineRule="exact" w:before="0"/>
      </w:pPr>
    </w:p>
    <w:p>
      <w:r>
        <w:t>注册时填写账户、用户名和密码；登录以账户和密码校验，用户名输入框不参与登录编辑。游客获取临时身份，不创建 MySQL 注册用户。第四个游客存档需选择已有槽位覆盖，但三个槽位只是本地索引，不是永久云存档或数据库级数量约束。</w:t>
      </w:r>
    </w:p>
    <w:p>
      <w:r>
        <w:t>standalone 模式改用 H2 内存数据库和内存状态实现，关闭进程后数据会丢失。需要验收真实注册入库与跨实例行为时，应使用 MySQL 与 Redis 环境。</w:t>
      </w:r>
    </w:p>
    <w:p>
      <w:r>
        <w:br w:type="page"/>
      </w:r>
    </w:p>
    <w:p>
      <w:pPr>
        <w:pStyle w:val="Heading1"/>
      </w:pPr>
      <w:r>
        <w:t>5 环境准备与本机开发</w:t>
      </w:r>
    </w:p>
    <w:p>
      <w:r>
        <w:t>下列命令均在项目根目录执行。首次启动需要下载镜像和依赖，应保持终端打开。不同运行方式可能占用同一个 8080 端口，切换前先停止上一种方式。</w:t>
      </w:r>
    </w:p>
    <w:p>
      <w:pPr>
        <w:pStyle w:val="Heading2"/>
      </w:pPr>
      <w:r>
        <w:t>先跑通现有演示</w:t>
      </w:r>
    </w:p>
    <w:p>
      <w:r>
        <w:t>先启动 Docker Desktop，等待 Linux 引擎就绪，再双击“启动演示.bat”。脚本负责准备演示配置、构建和启动 MySQL、Redis 及应用，并执行健康与基本接口检查。也可从 PowerShell 执行：</w:t>
      </w:r>
    </w:p>
    <w:p>
      <w:pPr>
        <w:spacing w:after="140" w:line="252" w:lineRule="auto"/>
      </w:pPr>
      <w:r>
        <w:rPr>
          <w:rFonts w:ascii="Consolas" w:hAnsi="Consolas" w:eastAsia="Microsoft YaHei"/>
          <w:sz w:val="18"/>
        </w:rPr>
        <w:t>powershell.exe -NoProfile -ExecutionPolicy Bypass -File .\scripts\demo.ps1 up</w:t>
      </w:r>
    </w:p>
    <w:p>
      <w:r>
        <w:t>页面启动后，应看到登录、注册及游客入口。状态、日志、冒烟检查和停止方式分别为：</w:t>
      </w:r>
    </w:p>
    <w:p>
      <w:pPr>
        <w:spacing w:after="140" w:line="252" w:lineRule="auto"/>
      </w:pPr>
      <w:r>
        <w:rPr>
          <w:rFonts w:ascii="Consolas" w:hAnsi="Consolas" w:eastAsia="Microsoft YaHei"/>
          <w:sz w:val="18"/>
        </w:rPr>
        <w:t>.\scripts\demo.ps1 status</w:t>
        <w:br/>
        <w:t>.\scripts\demo.ps1 logs</w:t>
        <w:br/>
        <w:t>.\scripts\demo.ps1 smoke</w:t>
        <w:br/>
        <w:t>.\scripts\demo.ps1 down</w:t>
      </w:r>
    </w:p>
    <w:p>
      <w:r>
        <w:t>停止演示会保留数据卷。不要用删除数据卷作为日常重启手段；.env.demo 由启动脚本管理，不应提交到 GitHub。</w:t>
      </w:r>
    </w:p>
    <w:p>
      <w:pPr>
        <w:pStyle w:val="Heading2"/>
      </w:pPr>
      <w:r>
        <w:t>前端热更新开发</w:t>
      </w:r>
    </w:p>
    <w:p>
      <w:r>
        <w:t>保留演示后端运行，另开终端安装并启动前端。访问 http://localhost:5173/；Vite 将 /api 与 /ws 代理到后端 8080，修改页面和组件后即可查看效果。</w:t>
      </w:r>
    </w:p>
    <w:p>
      <w:pPr>
        <w:spacing w:after="140" w:line="252" w:lineRule="auto"/>
      </w:pPr>
      <w:r>
        <w:rPr>
          <w:rFonts w:ascii="Consolas" w:hAnsi="Consolas" w:eastAsia="Microsoft YaHei"/>
          <w:sz w:val="18"/>
        </w:rPr>
        <w:t>npm ci --prefix frontend-vue</w:t>
        <w:br/>
        <w:t>npm run dev --prefix frontend-vue</w:t>
      </w:r>
    </w:p>
    <w:p>
      <w:pPr>
        <w:pStyle w:val="Heading2"/>
      </w:pPr>
      <w:r>
        <w:t>本机后端轻量开发</w:t>
      </w:r>
    </w:p>
    <w:p>
      <w:r>
        <w:t>先停止占用 8080 的演示。安装 JDK 17 和 Node 后，先打包前端，再验证和打包后端，最后使用 standalone 启动。该方式适合规则与界面联调，不用于证明 MySQL 持久化或 Redis 分布式一致性。</w:t>
      </w:r>
    </w:p>
    <w:p>
      <w:pPr>
        <w:spacing w:after="140" w:line="252" w:lineRule="auto"/>
      </w:pPr>
      <w:r>
        <w:rPr>
          <w:rFonts w:ascii="Consolas" w:hAnsi="Consolas" w:eastAsia="Microsoft YaHei"/>
          <w:sz w:val="18"/>
        </w:rPr>
        <w:t>npm run build --prefix frontend-vue</w:t>
        <w:br/>
        <w:t>.\mvnw.cmd -B -pl xiyouji-bootstrap -am clean verify</w:t>
        <w:br/>
        <w:t>java -jar xiyouji-bootstrap/target/xiyouji-bootstrap-1.0.0.jar --spring.profiles.active=standalone</w:t>
      </w:r>
    </w:p>
    <w:p>
      <w:pPr>
        <w:pStyle w:val="Heading2"/>
      </w:pPr>
      <w:r>
        <w:t>真实数据库与双实例联调</w:t>
      </w:r>
    </w:p>
    <w:p>
      <w:r>
        <w:t>需要验证真实数据环境时，修改代码后重新运行演示构建。需要双实例验收时，按 README 准备本地 .env 后使用 scripts/start-cluster.bat，或按 CI 的 Compose 组合启动；避免与单实例演示争用端口。不得复制 CI 测试密码作为生产配置。</w:t>
      </w:r>
    </w:p>
    <w:p>
      <w:r>
        <w:t>前端构建输出位于 frontend-vue/dist，Maven 将其连同 assets/images 打入 JAR。日常修改源文件，不编辑 dist、target 或 node_modules 中的生成内容。</w:t>
      </w:r>
    </w:p>
    <w:p>
      <w:r>
        <w:br w:type="page"/>
      </w:r>
    </w:p>
    <w:p>
      <w:pPr>
        <w:pStyle w:val="Heading1"/>
      </w:pPr>
      <w:r>
        <w:t>6 一个功能的开发流程</w:t>
      </w:r>
    </w:p>
    <w:p>
      <w:r>
        <w:t>每次开发围绕一个可验收的需求推进。以下是后续开发采用的操作流程；历史已完成事项仍以开发日志和 Git 提交为准。</w:t>
      </w:r>
    </w:p>
    <w:p>
      <w:pPr>
        <w:pStyle w:val="Heading2"/>
      </w:pPr>
      <w:r>
        <w:t>步骤 1 明确需求与验收条件</w:t>
      </w:r>
    </w:p>
    <w:p>
      <w:r>
        <w:t>在需求文档中写清用户操作、输入字段、权限、成功结果和失败提示。涉及存档时，明确保存位置、保留期限、覆盖确认和恢复方式。例如新增游客存档功能，验收应覆盖槽位未满、第四个存档选择覆盖、取消覆盖和失效存档处理。</w:t>
      </w:r>
    </w:p>
    <w:p>
      <w:pPr>
        <w:pStyle w:val="Heading2"/>
      </w:pPr>
      <w:r>
        <w:t>步骤 2 确定修改层与接口契约</w:t>
      </w:r>
    </w:p>
    <w:p>
      <w:r>
        <w:t>从页面和控制器追到应用服务，列出涉及的实体、DTO、仓储端口和接口。新增写接口时，先设计身份校验、幂等键、版本冲突及错误码；多人功能还应确定锁的粒度和通知时机。</w:t>
      </w:r>
    </w:p>
    <w:p>
      <w:pPr>
        <w:pStyle w:val="Heading2"/>
      </w:pPr>
      <w:r>
        <w:t>步骤 3 实现后端与数据变更</w:t>
      </w:r>
    </w:p>
    <w:p>
      <w:r>
        <w:t>将规则放到已有领域或应用服务边界内，数据实现放入基础设施层。数据库结构变更新增 Flyway 迁移，延续 V1 至 V4 的历史，不修改已发布迁移。修改账号字段时同时考虑旧数据回填、唯一约束和失败回滚，禁止记录明文密码或令牌。</w:t>
      </w:r>
    </w:p>
    <w:p>
      <w:pPr>
        <w:pStyle w:val="Heading2"/>
      </w:pPr>
      <w:r>
        <w:t>步骤 4 实现前端与资源</w:t>
      </w:r>
    </w:p>
    <w:p>
      <w:r>
        <w:t>在 frontend-vue/src 中修改页面、组件、API 和状态管理，补齐加载、空态、失败和重复点击处理。游戏插图放入 assets/images 并复用现有映射；同时验证开发服务器和生产 JAR 中的路径，尤其注意中文文件名和大小写。</w:t>
      </w:r>
    </w:p>
    <w:p>
      <w:pPr>
        <w:pStyle w:val="Heading2"/>
      </w:pPr>
      <w:r>
        <w:t>步骤 5 增加测试并联调</w:t>
      </w:r>
    </w:p>
    <w:p>
      <w:r>
        <w:t>先补失败场景和边界测试，再运行本地单测、类型检查与构建。随后在真实 MySQL 和 Redis 环境确认注册、游客槽位、会话恢复及主要游戏流程。改动多人状态时，用两个浏览器身份验证房间、准备、选角及状态同步。</w:t>
      </w:r>
    </w:p>
    <w:p>
      <w:pPr>
        <w:pStyle w:val="Heading2"/>
      </w:pPr>
      <w:r>
        <w:t>步骤 6 整理交付与记录</w:t>
      </w:r>
    </w:p>
    <w:p>
      <w:r>
        <w:t>更新相关 README、需求说明与开发日志，记录改动原因、验收结果和已知限制。检查 Git 差异后提交明确文件，推送开发分支；确认对应提交的 CI 结果，再发起合并或发布。不能把本地测试通过等同于线上部署完成。</w:t>
      </w:r>
    </w:p>
    <w:p>
      <w:r>
        <w:br w:type="page"/>
      </w:r>
    </w:p>
    <w:p>
      <w:pPr>
        <w:pStyle w:val="Heading1"/>
      </w:pPr>
      <w:r>
        <w:t>7 验证标准与故障处理</w:t>
      </w:r>
    </w:p>
    <w:p>
      <w:pPr>
        <w:pStyle w:val="Heading2"/>
      </w:pPr>
      <w:r>
        <w:t>基础验证顺序</w:t>
      </w:r>
    </w:p>
    <w:p>
      <w:pPr>
        <w:spacing w:after="140" w:line="252" w:lineRule="auto"/>
      </w:pPr>
      <w:r>
        <w:rPr>
          <w:rFonts w:ascii="Consolas" w:hAnsi="Consolas" w:eastAsia="Microsoft YaHei"/>
          <w:sz w:val="18"/>
        </w:rPr>
        <w:t>npm run test:unit --prefix frontend-vue</w:t>
        <w:br/>
        <w:t>npm run typecheck --prefix frontend-vue</w:t>
        <w:br/>
        <w:t>npm run build --prefix frontend-vue</w:t>
        <w:br/>
        <w:t>.\mvnw.cmd -B -pl xiyouji-bootstrap -am clean verify</w:t>
      </w:r>
    </w:p>
    <w:p>
      <w:r>
        <w:t>Maven 验证包括单元测试、架构约束、覆盖率聚合及可用时的容器集成测试。若 Docker 不可用，部分 Testcontainers 测试会跳过；必须查看测试摘要，不能把跳过当成验证成功。聚合覆盖率门槛为行覆盖 28%、分支覆盖 16%，不可为了通过构建随意降低。</w:t>
      </w:r>
    </w:p>
    <w:p>
      <w:pPr>
        <w:pStyle w:val="Heading2"/>
      </w:pPr>
      <w:r>
        <w:t>完整验收</w:t>
      </w:r>
    </w:p>
    <w:p>
      <w:r>
        <w:t>在专用测试环境启动双实例 Compose，再运行 DistributedComposeE2ETest 与 Playwright。完整命令及环境准备以 .github/workflows/ci.yml 为准。浏览器测试命令如下，首次需在 frontend-vue 目录安装 Playwright Chromium：</w:t>
      </w:r>
    </w:p>
    <w:p>
      <w:pPr>
        <w:spacing w:after="140" w:line="252" w:lineRule="auto"/>
      </w:pPr>
      <w:r>
        <w:rPr>
          <w:rFonts w:ascii="Consolas" w:hAnsi="Consolas" w:eastAsia="Microsoft YaHei"/>
          <w:sz w:val="18"/>
        </w:rPr>
        <w:t>npm run test:e2e --prefix frontend-vue</w:t>
      </w:r>
    </w:p>
    <w:p>
      <w:r>
        <w:t>验收至少覆盖：注册和登录失败提示；游客三个槽位及覆盖确认；单人创建、读取和推进；多人房间与战斗同步；刷新或重连后的状态恢复；图片可达性。CI 使用隔离测试数据，不能直接照搬其删除数据卷的收尾命令到演示环境。</w:t>
      </w:r>
    </w:p>
    <w:p>
      <w:pPr>
        <w:pStyle w:val="Heading2"/>
      </w:pPr>
      <w:r>
        <w:t>常见问题处理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46"/>
        <w:gridCol w:w="3874"/>
        <w:gridCol w:w="4046"/>
      </w:tblGrid>
      <w:tr>
        <w:trPr>
          <w:cantSplit/>
          <w:tblHeader/>
        </w:trPr>
        <w:tc>
          <w:tcPr>
            <w:tcW w:type="dxa" w:w="2246"/>
            <w:vAlign w:val="center"/>
            <w:shd w:fill="24405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3874"/>
            <w:vAlign w:val="center"/>
            <w:shd w:fill="24405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20"/>
              </w:rPr>
              <w:t>先检查什么</w:t>
            </w:r>
          </w:p>
        </w:tc>
        <w:tc>
          <w:tcPr>
            <w:tcW w:type="dxa" w:w="4046"/>
            <w:vAlign w:val="center"/>
            <w:shd w:fill="24405A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20"/>
              </w:rPr>
              <w:t>处理原则</w:t>
            </w:r>
          </w:p>
        </w:tc>
      </w:tr>
      <w:tr>
        <w:trPr>
          <w:cantSplit/>
        </w:trPr>
        <w:tc>
          <w:tcPr>
            <w:tcW w:type="dxa" w:w="2246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Docker 命名管道不存在</w:t>
            </w:r>
          </w:p>
        </w:tc>
        <w:tc>
          <w:tcPr>
            <w:tcW w:type="dxa" w:w="3874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docker info；Docker Desktop 是否处于 Linux 引擎就绪状态。</w:t>
            </w:r>
          </w:p>
        </w:tc>
        <w:tc>
          <w:tcPr>
            <w:tcW w:type="dxa" w:w="4046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等待引擎可用再重试；这类报错不是登录页问题。</w:t>
            </w:r>
          </w:p>
        </w:tc>
      </w:tr>
      <w:tr>
        <w:trPr>
          <w:cantSplit/>
        </w:trPr>
        <w:tc>
          <w:tcPr>
            <w:tcW w:type="dxa" w:w="2246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8080 被占用</w:t>
            </w:r>
          </w:p>
        </w:tc>
        <w:tc>
          <w:tcPr>
            <w:tcW w:type="dxa" w:w="3874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是否同时运行演示、独立 JAR 或双实例集群。</w:t>
            </w:r>
          </w:p>
        </w:tc>
        <w:tc>
          <w:tcPr>
            <w:tcW w:type="dxa" w:w="4046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停止对应旧环境再启动，避免同时占用。</w:t>
            </w:r>
          </w:p>
        </w:tc>
      </w:tr>
      <w:tr>
        <w:trPr>
          <w:cantSplit/>
        </w:trPr>
        <w:tc>
          <w:tcPr>
            <w:tcW w:type="dxa" w:w="2246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页面仍显示旧内容</w:t>
            </w:r>
          </w:p>
        </w:tc>
        <w:tc>
          <w:tcPr>
            <w:tcW w:type="dxa" w:w="3874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是否完成前端构建与容器重建；浏览器缓存。</w:t>
            </w:r>
          </w:p>
        </w:tc>
        <w:tc>
          <w:tcPr>
            <w:tcW w:type="dxa" w:w="4046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开发时用 5173 热更新，演示时重新运行 up 并刷新。</w:t>
            </w:r>
          </w:p>
        </w:tc>
      </w:tr>
      <w:tr>
        <w:trPr>
          <w:cantSplit/>
        </w:trPr>
        <w:tc>
          <w:tcPr>
            <w:tcW w:type="dxa" w:w="2246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登录或数据库失败</w:t>
            </w:r>
          </w:p>
        </w:tc>
        <w:tc>
          <w:tcPr>
            <w:tcW w:type="dxa" w:w="3874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应用健康检查、日志、MySQL 健康状态与迁移日志。</w:t>
            </w:r>
          </w:p>
        </w:tc>
        <w:tc>
          <w:tcPr>
            <w:tcW w:type="dxa" w:w="4046"/>
            <w:vAlign w:val="center"/>
            <w:shd w:fill="F2F5F8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核对本地配置；不要靠删库修复，也不要上传秘密配置。</w:t>
            </w:r>
          </w:p>
        </w:tc>
      </w:tr>
      <w:tr>
        <w:trPr>
          <w:cantSplit/>
        </w:trPr>
        <w:tc>
          <w:tcPr>
            <w:tcW w:type="dxa" w:w="2246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游客索引存在但打不开</w:t>
            </w:r>
          </w:p>
        </w:tc>
        <w:tc>
          <w:tcPr>
            <w:tcW w:type="dxa" w:w="3874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对应 Redis 会话是否过期；身份和浏览器存储是否一致。</w:t>
            </w:r>
          </w:p>
        </w:tc>
        <w:tc>
          <w:tcPr>
            <w:tcW w:type="dxa" w:w="4046"/>
            <w:vAlign w:val="center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提示失效并重建；本地索引本身无法恢复已过期的游戏状态。</w:t>
            </w:r>
          </w:p>
        </w:tc>
      </w:tr>
    </w:tbl>
    <w:p>
      <w:pPr>
        <w:spacing w:after="0" w:line="120" w:lineRule="exact" w:before="0"/>
      </w:pPr>
    </w:p>
    <w:p>
      <w:r>
        <w:t>故障记录应包括复现步骤、接口、错误码及脱敏日志，不得包含数据库密码、JWT 密钥或个人资料。</w:t>
      </w:r>
    </w:p>
    <w:p>
      <w:r>
        <w:br w:type="page"/>
      </w:r>
    </w:p>
    <w:p>
      <w:pPr>
        <w:pStyle w:val="Heading1"/>
      </w:pPr>
      <w:r>
        <w:t>8 GitHub 交付与维护约定</w:t>
      </w:r>
    </w:p>
    <w:p>
      <w:pPr>
        <w:pStyle w:val="Heading2"/>
      </w:pPr>
      <w:r>
        <w:t>提交和发布</w:t>
      </w:r>
    </w:p>
    <w:p>
      <w:r>
        <w:t>当前基线是 codex/multimodule-distributed 分支的 0d81899 提交。开发前检查工作区与远端差异，保留他人未提交内容。验证后按功能提交明确文件，不推送缓存、构建产物或凭据。</w:t>
      </w:r>
    </w:p>
    <w:p>
      <w:pPr>
        <w:spacing w:after="140" w:line="252" w:lineRule="auto"/>
      </w:pPr>
      <w:r>
        <w:rPr>
          <w:rFonts w:ascii="Consolas" w:hAnsi="Consolas" w:eastAsia="Microsoft YaHei"/>
          <w:sz w:val="18"/>
        </w:rPr>
        <w:t>git status --short</w:t>
        <w:br/>
        <w:t>git diff --stat</w:t>
        <w:br/>
        <w:t>git diff --check</w:t>
      </w:r>
    </w:p>
    <w:p>
      <w:r>
        <w:t>Actions 对 main、develop 和 codex/** 分支推送运行 CI，验证前后端、Compose、离线 Kubernetes 配置和端到端行为。SonarQube 是配置密钥后启用的可选检查。</w:t>
      </w:r>
    </w:p>
    <w:p>
      <w:r>
        <w:t>镜像发布支持手动触发或版本标签，将带提交标识的镜像上传 GHCR。确认目标提交 CI 成功后，按 docs/vps-deployment.md 准备服务器、HTTPS、密钥和备份，再部署。工作流存在不代表已上线。</w:t>
      </w:r>
    </w:p>
    <w:p>
      <w:r>
        <w:t>应用回退选择已验证的固定镜像，数据库迁移单独评估兼容性；旧镜像不会自动撤销表结构。部署前检查 MySQL 与 Redis 数据卷的备份。</w:t>
      </w:r>
    </w:p>
    <w:p>
      <w:pPr>
        <w:pStyle w:val="Heading2"/>
      </w:pPr>
      <w:r>
        <w:t>目录和文档维护</w:t>
      </w:r>
    </w:p>
    <w:p>
      <w:r>
        <w:t>插图统一放在 assets/images，历史材料放在 docs/archive，新增工具脚本放在 scripts。需求与开发说明放在需求文档目录。开发日志记录日期、需求、修改模块、数据变化、验证结果及提交号。</w:t>
      </w:r>
    </w:p>
    <w:p>
      <w:r>
        <w:t>k8s 是离线检查过的部署草案，尚未完成真实集群验收。游客身份唯一性、长期云存档与跨设备恢复仍需专门设计，当前实现不承诺这些能力。</w:t>
      </w:r>
    </w:p>
    <w:p>
      <w:pPr>
        <w:pStyle w:val="Heading2"/>
      </w:pPr>
      <w:r>
        <w:t>维护时优先核对的代码资料</w:t>
      </w:r>
    </w:p>
    <w:p>
      <w:r>
        <w:t>依赖版本：各层 pom.xml、.mvn/wrapper/maven-wrapper.properties、frontend-vue/package.json 与 package-lock.json、Dockerfile。</w:t>
      </w:r>
    </w:p>
    <w:p>
      <w:r>
        <w:t>运行配置：README.md、frontend-vue/vite.config.ts、scripts/demo.ps1、三个 docker-compose 编排文件。</w:t>
      </w:r>
    </w:p>
    <w:p>
      <w:r>
        <w:t>数据规则：AuthService、SecurityConfig、前端 auth 和 guestSaves store；RedisSessionStore、RedisRoomStore、RedisMultiplayerBattleStore；bootstrap 的 db/migration。</w:t>
      </w:r>
    </w:p>
    <w:p>
      <w:r>
        <w:t>验证与交付：.github/workflows、scripts/check-jacoco-aggregate.mjs、docs/vps-deployment.md、docs/repository-cleanup.md。文档导航见 docs/README.md 与 assets/README.md。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20"/>
      <w:snapToGrid w:val="0"/>
    </w:pPr>
    <w:rPr>
      <w:rFonts w:ascii="Microsoft YaHei" w:hAnsi="Microsoft YaHei" w:eastAsia="Microsoft YaHei" w:cs="Microsoft YaHei"/>
      <w:b w:val="0"/>
      <w:i w:val="0"/>
      <w:color w:val="000000"/>
      <w:sz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460" w:lineRule="exact"/>
      <w:outlineLvl w:val="0"/>
      <w:snapToGrid w:val="0"/>
    </w:pPr>
    <w:rPr>
      <w:rFonts w:cstheme="majorBidi" w:ascii="Microsoft YaHei" w:hAnsi="Microsoft YaHei" w:eastAsia="Microsoft YaHei" w:cs="Microsoft YaHei"/>
      <w:b/>
      <w:bCs/>
      <w:i w:val="0"/>
      <w:color w:val="000000"/>
      <w:sz w:val="34"/>
      <w:szCs w:val="2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380" w:lineRule="exact"/>
      <w:outlineLvl w:val="1"/>
      <w:snapToGrid w:val="0"/>
    </w:pPr>
    <w:rPr>
      <w:rFonts w:cstheme="majorBidi" w:ascii="Microsoft YaHei" w:hAnsi="Microsoft YaHei" w:eastAsia="Microsoft YaHei" w:cs="Microsoft YaHei"/>
      <w:b/>
      <w:bCs/>
      <w:i w:val="0"/>
      <w:color w:val="000000"/>
      <w:sz w:val="24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 w:line="360" w:lineRule="exact"/>
      <w:outlineLvl w:val="2"/>
      <w:snapToGrid w:val="0"/>
    </w:pPr>
    <w:rPr>
      <w:rFonts w:cstheme="majorBidi" w:ascii="Microsoft YaHei" w:hAnsi="Microsoft YaHei" w:eastAsia="Microsoft YaHei" w:cs="Microsoft YaHei"/>
      <w:b/>
      <w:bCs/>
      <w:i w:val="0"/>
      <w:color w:val="000000"/>
      <w:sz w:val="22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640" w:lineRule="exact"/>
      <w:contextualSpacing/>
      <w:snapToGrid w:val="0"/>
    </w:pPr>
    <w:rPr>
      <w:rFonts w:cstheme="majorBidi" w:ascii="Microsoft YaHei" w:hAnsi="Microsoft YaHei" w:eastAsia="Microsoft YaHei" w:cs="Microsoft YaHei"/>
      <w:b/>
      <w:i w:val="0"/>
      <w:color w:val="000000"/>
      <w:spacing w:val="5"/>
      <w:kern w:val="28"/>
      <w:sz w:val="48"/>
      <w:szCs w:val="52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60" w:lineRule="exact" w:after="120"/>
      <w:snapToGrid w:val="0"/>
    </w:pPr>
    <w:rPr>
      <w:rFonts w:cstheme="majorBidi" w:ascii="Microsoft YaHei" w:hAnsi="Microsoft YaHei" w:eastAsia="Microsoft YaHei" w:cs="Microsoft YaHei"/>
      <w:b w:val="0"/>
      <w:i w:val="0"/>
      <w:iCs/>
      <w:color w:val="000000"/>
      <w:spacing w:val="15"/>
      <w:sz w:val="22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西游记项目开发流程与工具架构说明</dc:title>
  <dc:subject>开发工具 依赖库 架构分层 开发流程 测试与交付</dc:subject>
  <dc:creator/>
  <cp:keywords>西游记,开发流程,架构,Java,Vue,MySQL,Redis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