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rial" w:hAnsi="Arial"/>
          <w:b/>
          <w:color w:val="163B67"/>
          <w:sz w:val="24"/>
        </w:rPr>
        <w:t>UNIVERSIDAD PERUANA UNIÓN</w:t>
      </w:r>
    </w:p>
    <w:p>
      <w:pPr>
        <w:spacing w:after="40"/>
        <w:jc w:val="center"/>
      </w:pPr>
      <w:r>
        <w:t>Facultad de Ingeniería y Arquitectura</w:t>
      </w:r>
    </w:p>
    <w:p>
      <w:pPr>
        <w:spacing w:after="280"/>
        <w:jc w:val="center"/>
      </w:pPr>
      <w:r>
        <w:t>EP Ingeniería de Sistemas</w:t>
      </w:r>
    </w:p>
    <w:p>
      <w:pPr>
        <w:spacing w:before="60" w:after="320"/>
        <w:pBdr>
          <w:bottom w:val="single" w:sz="12" w:space="1" w:color="E2A900"/>
        </w:pBdr>
      </w:pPr>
    </w:p>
    <w:p>
      <w:pPr>
        <w:spacing w:after="360"/>
        <w:jc w:val="center"/>
      </w:pPr>
      <w:r>
        <w:rPr>
          <w:b/>
          <w:color w:val="596B80"/>
          <w:sz w:val="22"/>
        </w:rPr>
        <w:t>LENGUAJE DE PROGRAMACIÓN II</w:t>
      </w:r>
    </w:p>
    <w:p>
      <w:pPr>
        <w:spacing w:after="60"/>
        <w:jc w:val="center"/>
      </w:pPr>
      <w:r>
        <w:rPr>
          <w:b/>
          <w:color w:val="163B67"/>
          <w:sz w:val="44"/>
        </w:rPr>
        <w:t>ACTIVIDAD AUTÓNOMA</w:t>
      </w:r>
    </w:p>
    <w:p>
      <w:pPr>
        <w:spacing w:after="320"/>
        <w:jc w:val="center"/>
      </w:pPr>
      <w:r>
        <w:rPr>
          <w:b/>
          <w:color w:val="163B67"/>
          <w:sz w:val="32"/>
        </w:rPr>
        <w:t>SESIÓN 8</w:t>
      </w:r>
    </w:p>
    <w:p>
      <w:pPr>
        <w:spacing w:after="40"/>
        <w:jc w:val="center"/>
      </w:pPr>
      <w:r>
        <w:t>Pruebas de dependencias entre</w:t>
      </w:r>
    </w:p>
    <w:p>
      <w:pPr>
        <w:spacing w:after="400"/>
        <w:jc w:val="center"/>
      </w:pPr>
      <w:r>
        <w:t>Categorías y Productos</w:t>
      </w:r>
    </w:p>
    <w:p>
      <w:pPr>
        <w:spacing w:before="60" w:after="320"/>
        <w:pBdr>
          <w:bottom w:val="single" w:sz="12" w:space="1" w:color="E2A900"/>
        </w:pBdr>
      </w:pPr>
    </w:p>
    <w:p>
      <w:pPr>
        <w:spacing w:after="60"/>
        <w:jc w:val="center"/>
      </w:pPr>
      <w:r>
        <w:rPr>
          <w:b/>
          <w:color w:val="163B67"/>
        </w:rPr>
        <w:t>Presentado por</w:t>
      </w:r>
    </w:p>
    <w:p>
      <w:pPr>
        <w:spacing w:after="240"/>
        <w:jc w:val="center"/>
      </w:pPr>
      <w:r>
        <w:rPr>
          <w:b/>
          <w:color w:val="163B67"/>
          <w:sz w:val="30"/>
        </w:rPr>
        <w:t>Mishelle Osorio</w:t>
      </w:r>
    </w:p>
    <w:p>
      <w:pPr>
        <w:spacing w:after="60"/>
        <w:jc w:val="center"/>
      </w:pPr>
      <w:r>
        <w:t>Docente: Reyna Barreto Benjamin David</w:t>
      </w:r>
    </w:p>
    <w:p>
      <w:pPr>
        <w:spacing w:after="60"/>
        <w:jc w:val="center"/>
      </w:pPr>
      <w:r>
        <w:t>Ciclo IV · Semestre 2026-2</w:t>
      </w:r>
    </w:p>
    <w:p>
      <w:pPr>
        <w:jc w:val="center"/>
      </w:pPr>
      <w:r>
        <w:t>8 de octubre de 2026</w:t>
      </w:r>
    </w:p>
    <w:p>
      <w:r>
        <w:br w:type="page"/>
      </w:r>
    </w:p>
    <w:p>
      <w:pPr>
        <w:pStyle w:val="Title"/>
      </w:pPr>
      <w:r>
        <w:t>Informe de resultados y hallazgos</w:t>
      </w:r>
    </w:p>
    <w:p>
      <w:r>
        <w:t>Actividad autónoma · Sesión 8 · PharmaSoft · SPA localhost:4200 y API localhost:8080</w:t>
      </w:r>
    </w:p>
    <w:p>
      <w:pPr>
        <w:pStyle w:val="Heading1"/>
      </w:pPr>
      <w:r>
        <w:t>B1. Resumen de ejecución</w:t>
      </w:r>
    </w:p>
    <w:p>
      <w:r>
        <w:t>Se ejecutaron 17 de los 18 casos: 11 pasaron y 6 fallaron. B-04 no pudo ejecutarse porque el flujo de baja eliminó físicamente el producto y no permitió preparar una categoría con productos inactivos. Los fallos son comportamientos observados en el sistema, no errores de ejecución del estudiante.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DE7"/>
          <w:left w:val="single" w:sz="4" w:color="D5DDE7"/>
          <w:bottom w:val="single" w:sz="4" w:color="D5DDE7"/>
          <w:right w:val="single" w:sz="4" w:color="D5DDE7"/>
          <w:insideH w:val="single" w:sz="4" w:color="D5DDE7"/>
          <w:insideV w:val="single" w:sz="4" w:color="D5DDE7"/>
        </w:tblBorders>
      </w:tblPr>
      <w:tblGrid>
        <w:gridCol w:w="1990"/>
        <w:gridCol w:w="1990"/>
        <w:gridCol w:w="1990"/>
        <w:gridCol w:w="1990"/>
        <w:gridCol w:w="1990"/>
      </w:tblGrid>
      <w:tr>
        <w:tc>
          <w:tcPr>
            <w:tcW w:type="dxa" w:w="2520"/>
            <w:vAlign w:val="center"/>
            <w:shd w:fill="163B67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Grupo</w:t>
            </w:r>
          </w:p>
        </w:tc>
        <w:tc>
          <w:tcPr>
            <w:tcW w:type="dxa" w:w="1440"/>
            <w:vAlign w:val="center"/>
            <w:shd w:fill="163B67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Ejecutados</w:t>
            </w:r>
          </w:p>
        </w:tc>
        <w:tc>
          <w:tcPr>
            <w:tcW w:type="dxa" w:w="1440"/>
            <w:vAlign w:val="center"/>
            <w:shd w:fill="163B67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Pasan</w:t>
            </w:r>
          </w:p>
        </w:tc>
        <w:tc>
          <w:tcPr>
            <w:tcW w:type="dxa" w:w="1440"/>
            <w:vAlign w:val="center"/>
            <w:shd w:fill="163B67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Fallan</w:t>
            </w:r>
          </w:p>
        </w:tc>
        <w:tc>
          <w:tcPr>
            <w:tcW w:type="dxa" w:w="1800"/>
            <w:vAlign w:val="center"/>
            <w:shd w:fill="163B67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 ejecutados</w:t>
            </w:r>
          </w:p>
        </w:tc>
      </w:tr>
      <w:tr>
        <w:tc>
          <w:tcPr>
            <w:tcW w:type="dxa" w:w="25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26364A"/>
                <w:sz w:val="15"/>
              </w:rPr>
              <w:t>Altas (A-01 a A-08)</w:t>
            </w:r>
          </w:p>
        </w:tc>
        <w:tc>
          <w:tcPr>
            <w:tcW w:type="dxa" w:w="14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5"/>
              </w:rPr>
              <w:t>8</w:t>
            </w:r>
          </w:p>
        </w:tc>
        <w:tc>
          <w:tcPr>
            <w:tcW w:type="dxa" w:w="14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5"/>
              </w:rPr>
              <w:t>7</w:t>
            </w:r>
          </w:p>
        </w:tc>
        <w:tc>
          <w:tcPr>
            <w:tcW w:type="dxa" w:w="14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5"/>
              </w:rPr>
              <w:t>1</w:t>
            </w:r>
          </w:p>
        </w:tc>
        <w:tc>
          <w:tcPr>
            <w:tcW w:type="dxa" w:w="18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5"/>
              </w:rPr>
              <w:t>0</w:t>
            </w:r>
          </w:p>
        </w:tc>
      </w:tr>
      <w:tr>
        <w:tc>
          <w:tcPr>
            <w:tcW w:type="dxa" w:w="25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6F8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26364A"/>
                <w:sz w:val="15"/>
              </w:rPr>
              <w:t>Cambios (C-01 a C-05)</w:t>
            </w:r>
          </w:p>
        </w:tc>
        <w:tc>
          <w:tcPr>
            <w:tcW w:type="dxa" w:w="14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5"/>
              </w:rPr>
              <w:t>5</w:t>
            </w:r>
          </w:p>
        </w:tc>
        <w:tc>
          <w:tcPr>
            <w:tcW w:type="dxa" w:w="14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5"/>
              </w:rPr>
              <w:t>2</w:t>
            </w:r>
          </w:p>
        </w:tc>
        <w:tc>
          <w:tcPr>
            <w:tcW w:type="dxa" w:w="14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5"/>
              </w:rPr>
              <w:t>3</w:t>
            </w:r>
          </w:p>
        </w:tc>
        <w:tc>
          <w:tcPr>
            <w:tcW w:type="dxa" w:w="18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5"/>
              </w:rPr>
              <w:t>0</w:t>
            </w:r>
          </w:p>
        </w:tc>
      </w:tr>
      <w:tr>
        <w:tc>
          <w:tcPr>
            <w:tcW w:type="dxa" w:w="25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26364A"/>
                <w:sz w:val="15"/>
              </w:rPr>
              <w:t>Bajas (B-01 a B-05)</w:t>
            </w:r>
          </w:p>
        </w:tc>
        <w:tc>
          <w:tcPr>
            <w:tcW w:type="dxa" w:w="14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5"/>
              </w:rPr>
              <w:t>4</w:t>
            </w:r>
          </w:p>
        </w:tc>
        <w:tc>
          <w:tcPr>
            <w:tcW w:type="dxa" w:w="14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5"/>
              </w:rPr>
              <w:t>2</w:t>
            </w:r>
          </w:p>
        </w:tc>
        <w:tc>
          <w:tcPr>
            <w:tcW w:type="dxa" w:w="14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5"/>
              </w:rPr>
              <w:t>2</w:t>
            </w:r>
          </w:p>
        </w:tc>
        <w:tc>
          <w:tcPr>
            <w:tcW w:type="dxa" w:w="18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5"/>
              </w:rPr>
              <w:t>1</w:t>
            </w:r>
          </w:p>
        </w:tc>
      </w:tr>
      <w:tr>
        <w:tc>
          <w:tcPr>
            <w:tcW w:type="dxa" w:w="25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6F8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26364A"/>
                <w:sz w:val="15"/>
              </w:rPr>
              <w:t>Total</w:t>
            </w:r>
          </w:p>
        </w:tc>
        <w:tc>
          <w:tcPr>
            <w:tcW w:type="dxa" w:w="14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5"/>
              </w:rPr>
              <w:t>17</w:t>
            </w:r>
          </w:p>
        </w:tc>
        <w:tc>
          <w:tcPr>
            <w:tcW w:type="dxa" w:w="14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5"/>
              </w:rPr>
              <w:t>11</w:t>
            </w:r>
          </w:p>
        </w:tc>
        <w:tc>
          <w:tcPr>
            <w:tcW w:type="dxa" w:w="14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5"/>
              </w:rPr>
              <w:t>6</w:t>
            </w:r>
          </w:p>
        </w:tc>
        <w:tc>
          <w:tcPr>
            <w:tcW w:type="dxa" w:w="18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5"/>
              </w:rPr>
              <w:t>1</w:t>
            </w:r>
          </w:p>
        </w:tc>
      </w:tr>
    </w:tbl>
    <w:p>
      <w:pPr>
        <w:pStyle w:val="Heading1"/>
      </w:pPr>
      <w:r>
        <w:t>B2. Fichas de hallazgos</w:t>
      </w:r>
    </w:p>
    <w:p>
      <w:pPr>
        <w:pStyle w:val="Heading2"/>
        <w:keepNext/>
      </w:pPr>
      <w:r>
        <w:rPr>
          <w:b/>
        </w:rPr>
        <w:t>H-01 · A-04 · Alta</w:t>
      </w:r>
      <w:r>
        <w:t xml:space="preserve">  La API acepta altas en categorías inactivas</w:t>
      </w:r>
    </w:p>
    <w:p>
      <w:pPr>
        <w:spacing w:after="60"/>
      </w:pPr>
      <w:r>
        <w:rPr>
          <w:b/>
        </w:rPr>
        <w:t xml:space="preserve">Resultado y evidencia: </w:t>
      </w:r>
      <w:r>
        <w:t>La SPA no mostró Vitaminas; Postman aceptó el alta y devolvió 201 Created. Evidencia: A-04-SPA y A-04-Postman.</w:t>
      </w:r>
    </w:p>
    <w:p>
      <w:pPr>
        <w:spacing w:after="60"/>
      </w:pPr>
      <w:r>
        <w:rPr>
          <w:b/>
        </w:rPr>
        <w:t xml:space="preserve">Causa probable: </w:t>
      </w:r>
      <w:r>
        <w:t>ProductoServiceImpl.create usa buscarCategoriaPorId, que verifica existencia, pero no estado.</w:t>
      </w:r>
    </w:p>
    <w:p>
      <w:pPr>
        <w:spacing w:after="60"/>
      </w:pPr>
      <w:r>
        <w:rPr>
          <w:b/>
        </w:rPr>
        <w:t xml:space="preserve">Corrección propuesta: </w:t>
      </w:r>
      <w:r>
        <w:t>Exigir categoría activa en el servicio antes de guardar y responder 409. Mantener el filtro de la SPA como ayuda de uso.</w:t>
      </w:r>
    </w:p>
    <w:p>
      <w:pPr>
        <w:pStyle w:val="Heading2"/>
        <w:keepNext/>
      </w:pPr>
      <w:r>
        <w:rPr>
          <w:b/>
        </w:rPr>
        <w:t>H-02 · C-02 · Alta</w:t>
      </w:r>
      <w:r>
        <w:t xml:space="preserve">  La API permite mover productos a categorías inactivas</w:t>
      </w:r>
    </w:p>
    <w:p>
      <w:pPr>
        <w:spacing w:after="60"/>
      </w:pPr>
      <w:r>
        <w:rPr>
          <w:b/>
        </w:rPr>
        <w:t xml:space="preserve">Resultado y evidencia: </w:t>
      </w:r>
      <w:r>
        <w:t>La SPA ocultó Vitaminas, pero PUT /productos/21 respondió 200 OK y guardó esa relación. Evidencia: C-02.</w:t>
      </w:r>
    </w:p>
    <w:p>
      <w:pPr>
        <w:spacing w:after="60"/>
      </w:pPr>
      <w:r>
        <w:rPr>
          <w:b/>
        </w:rPr>
        <w:t xml:space="preserve">Causa probable: </w:t>
      </w:r>
      <w:r>
        <w:t>ProductoServiceImpl.update usa la misma búsqueda que solo valida existencia.</w:t>
      </w:r>
    </w:p>
    <w:p>
      <w:pPr>
        <w:spacing w:after="60"/>
      </w:pPr>
      <w:r>
        <w:rPr>
          <w:b/>
        </w:rPr>
        <w:t xml:space="preserve">Corrección propuesta: </w:t>
      </w:r>
      <w:r>
        <w:t>Validar que el destino esté activo cuando cambia la categoría; devolver 409 y conservar la relación original si falla.</w:t>
      </w:r>
    </w:p>
    <w:p>
      <w:pPr>
        <w:pStyle w:val="Heading2"/>
        <w:keepNext/>
      </w:pPr>
      <w:r>
        <w:rPr>
          <w:b/>
        </w:rPr>
        <w:t>H-03 · C-03 · Media</w:t>
      </w:r>
      <w:r>
        <w:t xml:space="preserve">  Se desactiva una categoría con productos activos</w:t>
      </w:r>
    </w:p>
    <w:p>
      <w:pPr>
        <w:spacing w:after="60"/>
      </w:pPr>
      <w:r>
        <w:rPr>
          <w:b/>
        </w:rPr>
        <w:t xml:space="preserve">Resultado y evidencia: </w:t>
      </w:r>
      <w:r>
        <w:t>Antibióticos ID 2 se desactivó; Postman respondió PUT 200 OK. Evidencia: C-03.</w:t>
      </w:r>
    </w:p>
    <w:p>
      <w:pPr>
        <w:spacing w:after="60"/>
      </w:pPr>
      <w:r>
        <w:rPr>
          <w:b/>
        </w:rPr>
        <w:t xml:space="preserve">Causa probable: </w:t>
      </w:r>
      <w:r>
        <w:t>CategoriaServiceImpl.update guarda el estado sin consultar si existen productos activos.</w:t>
      </w:r>
    </w:p>
    <w:p>
      <w:pPr>
        <w:spacing w:after="60"/>
      </w:pPr>
      <w:r>
        <w:rPr>
          <w:b/>
        </w:rPr>
        <w:t xml:space="preserve">Corrección propuesta: </w:t>
      </w:r>
      <w:r>
        <w:t>Comprobar productos activos asociados y rechazar la desactivación con 409. La regla debe estar en backend.</w:t>
      </w:r>
    </w:p>
    <w:p>
      <w:r>
        <w:br w:type="page"/>
      </w:r>
    </w:p>
    <w:p>
      <w:pPr>
        <w:pStyle w:val="Heading1"/>
      </w:pPr>
      <w:r>
        <w:t>B2. Fichas de hallazgos (continuación)</w:t>
      </w:r>
    </w:p>
    <w:p>
      <w:pPr>
        <w:pStyle w:val="Heading2"/>
        <w:keepNext/>
      </w:pPr>
      <w:r>
        <w:rPr>
          <w:b/>
        </w:rPr>
        <w:t>H-04 · C-04 · Alta</w:t>
      </w:r>
      <w:r>
        <w:t xml:space="preserve">  La API no revalida la categoría al guardar</w:t>
      </w:r>
    </w:p>
    <w:p>
      <w:pPr>
        <w:spacing w:after="60"/>
      </w:pPr>
      <w:r>
        <w:rPr>
          <w:b/>
        </w:rPr>
        <w:t xml:space="preserve">Resultado y evidencia: </w:t>
      </w:r>
      <w:r>
        <w:t>Se desactivó la categoría con el formulario aún abierto; el POST se aceptó con 201 Created. Evidencia: C-04.</w:t>
      </w:r>
    </w:p>
    <w:p>
      <w:pPr>
        <w:spacing w:after="60"/>
      </w:pPr>
      <w:r>
        <w:rPr>
          <w:b/>
        </w:rPr>
        <w:t xml:space="preserve">Causa probable: </w:t>
      </w:r>
      <w:r>
        <w:t>La búsqueda de categoría al crear no valida su estado actual.</w:t>
      </w:r>
    </w:p>
    <w:p>
      <w:pPr>
        <w:spacing w:after="60"/>
      </w:pPr>
      <w:r>
        <w:rPr>
          <w:b/>
        </w:rPr>
        <w:t xml:space="preserve">Corrección propuesta: </w:t>
      </w:r>
      <w:r>
        <w:t>Revalidar dentro de la transacción de alta y rechazar el registro si la categoría está inactiva.</w:t>
      </w:r>
    </w:p>
    <w:p>
      <w:pPr>
        <w:pStyle w:val="Heading2"/>
        <w:keepNext/>
      </w:pPr>
      <w:r>
        <w:rPr>
          <w:b/>
        </w:rPr>
        <w:t>H-05 · B-01 · Alta</w:t>
      </w:r>
      <w:r>
        <w:t xml:space="preserve">  La baja de producto es física y pierde el registro</w:t>
      </w:r>
    </w:p>
    <w:p>
      <w:pPr>
        <w:spacing w:after="60"/>
      </w:pPr>
      <w:r>
        <w:rPr>
          <w:b/>
        </w:rPr>
        <w:t xml:space="preserve">Resultado y evidencia: </w:t>
      </w:r>
      <w:r>
        <w:t>DELETE /productos/27 respondió 204; A07 desapareció y la consulta posterior dio 404. Se esperaba conservarlo inactivo. Evidencia: B-01.</w:t>
      </w:r>
    </w:p>
    <w:p>
      <w:pPr>
        <w:spacing w:after="60"/>
      </w:pPr>
      <w:r>
        <w:rPr>
          <w:b/>
        </w:rPr>
        <w:t xml:space="preserve">Causa probable: </w:t>
      </w:r>
      <w:r>
        <w:t>ProductoServiceImpl.delete llama a productoRepository.delete(producto), que elimina la fila.</w:t>
      </w:r>
    </w:p>
    <w:p>
      <w:pPr>
        <w:spacing w:after="60"/>
      </w:pPr>
      <w:r>
        <w:rPr>
          <w:b/>
        </w:rPr>
        <w:t xml:space="preserve">Corrección propuesta: </w:t>
      </w:r>
      <w:r>
        <w:t>Cambiar estado a false y guardar la entidad; confirmar que el producto siga registrado como inactivo.</w:t>
      </w:r>
    </w:p>
    <w:p>
      <w:pPr>
        <w:pStyle w:val="Heading2"/>
        <w:keepNext/>
      </w:pPr>
      <w:r>
        <w:rPr>
          <w:b/>
        </w:rPr>
        <w:t>H-06 · B-02 · Media</w:t>
      </w:r>
      <w:r>
        <w:t xml:space="preserve">  La segunda baja devuelve 404 en vez de 409</w:t>
      </w:r>
    </w:p>
    <w:p>
      <w:pPr>
        <w:spacing w:after="60"/>
      </w:pPr>
      <w:r>
        <w:rPr>
          <w:b/>
        </w:rPr>
        <w:t xml:space="preserve">Resultado y evidencia: </w:t>
      </w:r>
      <w:r>
        <w:t>La segunda petición DELETE /productos/27 respondió 404 Not Found; se esperaba 409 para un producto ya dado de baja. Evidencia: B-02.</w:t>
      </w:r>
    </w:p>
    <w:p>
      <w:pPr>
        <w:spacing w:after="60"/>
      </w:pPr>
      <w:r>
        <w:rPr>
          <w:b/>
        </w:rPr>
        <w:t xml:space="preserve">Causa probable: </w:t>
      </w:r>
      <w:r>
        <w:t>La primera baja eliminó el registro; la segunda petición solo puede tratarlo como inexistente.</w:t>
      </w:r>
    </w:p>
    <w:p>
      <w:pPr>
        <w:spacing w:after="60"/>
      </w:pPr>
      <w:r>
        <w:rPr>
          <w:b/>
        </w:rPr>
        <w:t xml:space="preserve">Corrección propuesta: </w:t>
      </w:r>
      <w:r>
        <w:t>Implementar baja lógica y responder 409 si se intenta dar de baja un registro ya inactivo.</w:t>
      </w:r>
    </w:p>
    <w:p>
      <w:pPr>
        <w:pStyle w:val="Heading1"/>
      </w:pPr>
      <w:r>
        <w:t>B3. Cobertura de reglas de dependencia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DE7"/>
          <w:left w:val="single" w:sz="4" w:color="D5DDE7"/>
          <w:bottom w:val="single" w:sz="4" w:color="D5DDE7"/>
          <w:right w:val="single" w:sz="4" w:color="D5DDE7"/>
          <w:insideH w:val="single" w:sz="4" w:color="D5DDE7"/>
          <w:insideV w:val="single" w:sz="4" w:color="D5DDE7"/>
        </w:tblBorders>
      </w:tblPr>
      <w:tblGrid>
        <w:gridCol w:w="3317"/>
        <w:gridCol w:w="3317"/>
        <w:gridCol w:w="3317"/>
      </w:tblGrid>
      <w:tr>
        <w:tc>
          <w:tcPr>
            <w:tcW w:type="dxa" w:w="2160"/>
            <w:vAlign w:val="center"/>
            <w:shd w:fill="163B67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Regla</w:t>
            </w:r>
          </w:p>
        </w:tc>
        <w:tc>
          <w:tcPr>
            <w:tcW w:type="dxa" w:w="4680"/>
            <w:vAlign w:val="center"/>
            <w:shd w:fill="163B67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Validación actual</w:t>
            </w:r>
          </w:p>
        </w:tc>
        <w:tc>
          <w:tcPr>
            <w:tcW w:type="dxa" w:w="3024"/>
            <w:vAlign w:val="center"/>
            <w:shd w:fill="163B67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Resultado</w:t>
            </w:r>
          </w:p>
        </w:tc>
      </w:tr>
      <w:tr>
        <w:tc>
          <w:tcPr>
            <w:tcW w:type="dxa" w:w="21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26364A"/>
                <w:sz w:val="14"/>
              </w:rPr>
              <w:t>Existencia de categoría</w:t>
            </w:r>
          </w:p>
        </w:tc>
        <w:tc>
          <w:tcPr>
            <w:tcW w:type="dxa" w:w="4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4"/>
              </w:rPr>
              <w:t>ProductoServiceImpl.buscarCategoriaPorId verifica ID y devuelve 404.</w:t>
            </w:r>
          </w:p>
        </w:tc>
        <w:tc>
          <w:tcPr>
            <w:tcW w:type="dxa" w:w="302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4"/>
              </w:rPr>
              <w:t>A-03 pasa.</w:t>
            </w:r>
          </w:p>
        </w:tc>
      </w:tr>
      <w:tr>
        <w:tc>
          <w:tcPr>
            <w:tcW w:type="dxa" w:w="21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6F8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26364A"/>
                <w:sz w:val="14"/>
              </w:rPr>
              <w:t>Categoría activa al crear/cambiar</w:t>
            </w:r>
          </w:p>
        </w:tc>
        <w:tc>
          <w:tcPr>
            <w:tcW w:type="dxa" w:w="4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4"/>
              </w:rPr>
              <w:t>La SPA filtra opciones; API create/update no comprueban estado.</w:t>
            </w:r>
          </w:p>
        </w:tc>
        <w:tc>
          <w:tcPr>
            <w:tcW w:type="dxa" w:w="302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4"/>
              </w:rPr>
              <w:t>A-04, C-02 fallan; C-04 confirma falta de revalidación.</w:t>
            </w:r>
          </w:p>
        </w:tc>
      </w:tr>
      <w:tr>
        <w:tc>
          <w:tcPr>
            <w:tcW w:type="dxa" w:w="21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26364A"/>
                <w:sz w:val="14"/>
              </w:rPr>
              <w:t>Nombre único sin distinguir mayúsculas</w:t>
            </w:r>
          </w:p>
        </w:tc>
        <w:tc>
          <w:tcPr>
            <w:tcW w:type="dxa" w:w="4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4"/>
              </w:rPr>
              <w:t>create usa existsByNombreIgnoreCase.</w:t>
            </w:r>
          </w:p>
        </w:tc>
        <w:tc>
          <w:tcPr>
            <w:tcW w:type="dxa" w:w="302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4"/>
              </w:rPr>
              <w:t>A-05 pasa; unicidad en update no probada.</w:t>
            </w:r>
          </w:p>
        </w:tc>
      </w:tr>
      <w:tr>
        <w:tc>
          <w:tcPr>
            <w:tcW w:type="dxa" w:w="21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6F8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26364A"/>
                <w:sz w:val="14"/>
              </w:rPr>
              <w:t>No desactivar con productos activos</w:t>
            </w:r>
          </w:p>
        </w:tc>
        <w:tc>
          <w:tcPr>
            <w:tcW w:type="dxa" w:w="4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4"/>
              </w:rPr>
              <w:t>CategoriaServiceImpl.update no consulta productos antes de guardar.</w:t>
            </w:r>
          </w:p>
        </w:tc>
        <w:tc>
          <w:tcPr>
            <w:tcW w:type="dxa" w:w="302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4"/>
              </w:rPr>
              <w:t>C-03 falla.</w:t>
            </w:r>
          </w:p>
        </w:tc>
      </w:tr>
      <w:tr>
        <w:tc>
          <w:tcPr>
            <w:tcW w:type="dxa" w:w="21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26364A"/>
                <w:sz w:val="14"/>
              </w:rPr>
              <w:t>No borrar categoría referenciada</w:t>
            </w:r>
          </w:p>
        </w:tc>
        <w:tc>
          <w:tcPr>
            <w:tcW w:type="dxa" w:w="4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4"/>
              </w:rPr>
              <w:t>CategoriaServiceImpl.delete consulta existsByCategoriaId.</w:t>
            </w:r>
          </w:p>
        </w:tc>
        <w:tc>
          <w:tcPr>
            <w:tcW w:type="dxa" w:w="302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4"/>
              </w:rPr>
              <w:t>B-03 pasa; B-04 no ejecutada.</w:t>
            </w:r>
          </w:p>
        </w:tc>
      </w:tr>
      <w:tr>
        <w:tc>
          <w:tcPr>
            <w:tcW w:type="dxa" w:w="21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6F8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26364A"/>
                <w:sz w:val="14"/>
              </w:rPr>
              <w:t>Baja lógica de producto</w:t>
            </w:r>
          </w:p>
        </w:tc>
        <w:tc>
          <w:tcPr>
            <w:tcW w:type="dxa" w:w="4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4"/>
              </w:rPr>
              <w:t>ProductoServiceImpl.delete usa productoRepository.delete.</w:t>
            </w:r>
          </w:p>
        </w:tc>
        <w:tc>
          <w:tcPr>
            <w:tcW w:type="dxa" w:w="302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6F8FB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6364A"/>
                <w:sz w:val="14"/>
              </w:rPr>
              <w:t>B-01 y B-02 fallan: baja física.</w:t>
            </w:r>
          </w:p>
        </w:tc>
      </w:tr>
    </w:tbl>
    <w:p>
      <w:pPr/>
      <w:r>
        <w:t>B-01, B-02 y B-04 se relacionan con la baja física, pero comprueban resultados distintos.</w:t>
      </w:r>
    </w:p>
    <w:p>
      <w:r>
        <w:br w:type="page"/>
      </w:r>
    </w:p>
    <w:p>
      <w:pPr>
        <w:pStyle w:val="Heading1"/>
      </w:pPr>
      <w:r>
        <w:t>B4. Recomendación para el filtro por categoría</w:t>
      </w:r>
    </w:p>
    <w:p>
      <w:r>
        <w:t>El listado actual obtiene productos con GET /api/v1/productos y filtra en el cliente. ProductoController.findAll devuelve un Iterable y ProductoServiceImpl.readAll consulta findAll. Para catálogos grandes, conviene filtrar en el servidor antes de paginar.</w:t>
      </w:r>
    </w:p>
    <w:p>
      <w:pPr>
        <w:spacing w:after="60"/>
      </w:pPr>
      <w:r>
        <w:rPr>
          <w:b/>
        </w:rPr>
        <w:t xml:space="preserve">Endpoint: </w:t>
      </w:r>
      <w:r>
        <w:t>añadir categoriaId opcional a GET /api/v1/productos. Si se envía, devolver solo productos de esa categoría; si se omite, conservar el listado general.</w:t>
      </w:r>
    </w:p>
    <w:p>
      <w:pPr>
        <w:spacing w:after="120"/>
        <w:ind w:left="259"/>
      </w:pPr>
      <w:r>
        <w:rPr>
          <w:b/>
          <w:color w:val="163B67"/>
        </w:rPr>
        <w:t>GET /api/v1/productos?categoriaId=26&amp;page=0&amp;size=20</w:t>
      </w:r>
    </w:p>
    <w:p>
      <w:pPr>
        <w:spacing w:after="60"/>
      </w:pPr>
      <w:r>
        <w:rPr>
          <w:b/>
        </w:rPr>
        <w:t xml:space="preserve">Repositorio y servicio: </w:t>
      </w:r>
      <w:r>
        <w:t>incorporar una consulta paginada derivada de la relación, por ejemplo findByCategoria_Id(categoriaId, pageable), y usarla desde ProductoServiceImpl.</w:t>
      </w:r>
    </w:p>
    <w:p>
      <w:pPr>
        <w:spacing w:after="60"/>
      </w:pPr>
      <w:r>
        <w:rPr>
          <w:b/>
        </w:rPr>
        <w:t xml:space="preserve">Frontend: </w:t>
      </w:r>
      <w:r>
        <w:t>ProductoService.listar debe añadir categoriaId y paginación mediante HttpParams. ProductoList debe actualizar los parámetros al cambiar el selector. La ruta desde Categorías puede seguir enviando categoriaId como queryParam; el servidor hará el filtrado definitivo.</w:t>
      </w:r>
    </w:p>
    <w:p>
      <w:pPr>
        <w:spacing w:after="60"/>
      </w:pPr>
      <w:r>
        <w:rPr>
          <w:b/>
        </w:rPr>
        <w:t xml:space="preserve">Ventaja: </w:t>
      </w:r>
      <w:r>
        <w:t>se reciben solo los productos de la categoría seleccionada y la paginación corresponde al conjunto filtrado completo.</w:t>
      </w:r>
    </w:p>
    <w:p>
      <w:pPr>
        <w:pStyle w:val="Heading1"/>
      </w:pPr>
      <w:r>
        <w:t>B5. Preguntas de análisis</w:t>
      </w:r>
    </w:p>
    <w:p>
      <w:pPr>
        <w:spacing w:after="60"/>
      </w:pPr>
      <w:r>
        <w:rPr>
          <w:b/>
        </w:rPr>
        <w:t xml:space="preserve">1. ¿Por qué no basta con ocultar categorías inactivas en la SPA? </w:t>
      </w:r>
      <w:r>
        <w:t>La regla de interfaz guía a quien usa el formulario, pero Postman o una petición concurrente pueden enviar directamente un ID inactivo. A-04, C-02 y C-04 muestran que la API aceptó esas operaciones. La API debe validar el estado antes de guardar. Referencias: producto-form.ts, opcionesCategoria; ProductoServiceImpl.create/update.</w:t>
      </w:r>
    </w:p>
    <w:p>
      <w:pPr>
        <w:spacing w:after="60"/>
      </w:pPr>
      <w:r>
        <w:rPr>
          <w:b/>
        </w:rPr>
        <w:t xml:space="preserve">2. ¿Qué debería ocurrir al desactivar una categoría con productos activos? </w:t>
      </w:r>
      <w:r>
        <w:t>La propuesta es rechazar la desactivación con 409 mientras existan productos activos asociados. Así no quedan productos vendibles bajo una categoría que no se puede elegir al crear o cambiar productos. C-03 mostró que CategoriaServiceImpl.update guarda el estado sin esa comprobación.</w:t>
      </w:r>
    </w:p>
    <w:p>
      <w:pPr>
        <w:spacing w:after="60"/>
      </w:pPr>
      <w:r>
        <w:rPr>
          <w:b/>
        </w:rPr>
        <w:t xml:space="preserve">3. ¿Debe poder eliminarse una categoría que conserve productos históricos? </w:t>
      </w:r>
      <w:r>
        <w:t>No. Para conservar referencias e informes, una categoría referenciada por productos debe mantenerse aunque estos estén inactivos. CategoriaServiceImpl.delete consulta existsByCategoriaId. B-04 no se ejecutó porque la baja física impidió preparar el caso; no se atribuye un resultado no observado.</w:t>
      </w:r>
    </w:p>
    <w:p>
      <w:r>
        <w:br w:type="page"/>
      </w:r>
    </w:p>
    <w:p>
      <w:pPr>
        <w:pStyle w:val="Heading1"/>
      </w:pPr>
      <w:r>
        <w:t>B5. Preguntas de análisis (continuación)</w:t>
      </w:r>
    </w:p>
    <w:p>
      <w:pPr>
        <w:spacing w:after="60"/>
      </w:pPr>
      <w:r>
        <w:rPr>
          <w:b/>
        </w:rPr>
        <w:t xml:space="preserve">4. ¿Qué revela C-04 sobre el momento de validación? </w:t>
      </w:r>
      <w:r>
        <w:t>El estado puede cambiar después de abrir el formulario. La API debe volver a validarlo en cada escritura, dentro de la transacción y cerca del guardado. C-04 devolvió 201 después de desactivar la categoría; la validación de la SPA al cargar no basta. Si hay escrituras concurrentes, la base de datos también debe proteger la consistencia.</w:t>
      </w:r>
    </w:p>
    <w:p>
      <w:pPr>
        <w:spacing w:after="60"/>
      </w:pPr>
      <w:r>
        <w:rPr>
          <w:b/>
        </w:rPr>
        <w:t xml:space="preserve">5. Si se corrige A-04 en el backend, ¿qué cambia en la SPA y qué sigue igual? </w:t>
      </w:r>
      <w:r>
        <w:t>La SPA debe seguir ocultando categorías inactivas al crear y permitir conservar la categoría original al editar sin cambiarla, como se observó en C-05. También debe mostrar claramente el error 409 si el estado cambia después de cargar el formulario. La integridad queda garantizada por ProductoServiceImpl; la selección y los mensajes siguen en la interfaz.</w:t>
      </w:r>
    </w:p>
    <w:p>
      <w:pPr>
        <w:pStyle w:val="Heading1"/>
      </w:pPr>
      <w:r>
        <w:t>Referencias al código revisado</w:t>
      </w:r>
    </w:p>
    <w:p>
      <w:pPr>
        <w:spacing w:after="60"/>
      </w:pPr>
      <w:r>
        <w:rPr>
          <w:b/>
        </w:rPr>
        <w:t xml:space="preserve">Backend: </w:t>
      </w:r>
      <w:r>
        <w:t>ProductoServiceImpl.java: create (31-44), buscarCategoriaPorId (46-50), update (53-64), delete (77-81), readAll (85-90). CategoriaServiceImpl.java: update (48-69), delete (74-86). ProductoController.java: findAll (24-28). ProductoRepository.java: existsByNombreIgnoreCase y existsByCategoriaId.</w:t>
      </w:r>
    </w:p>
    <w:p>
      <w:pPr>
        <w:spacing w:after="60"/>
      </w:pPr>
      <w:r>
        <w:rPr>
          <w:b/>
        </w:rPr>
        <w:t xml:space="preserve">Frontend: </w:t>
      </w:r>
      <w:r>
        <w:t>producto-form.ts: opcionesCategoria y validación al guardar (37-40, 67-72). producto-list.ts: lectura de categoriaId y filtro local (17, 32-39). producto-service.ts: método listar.</w:t>
      </w:r>
    </w:p>
    <w:p>
      <w:pPr>
        <w:spacing w:after="60"/>
      </w:pPr>
      <w:r>
        <w:rPr>
          <w:b/>
        </w:rPr>
        <w:t xml:space="preserve">Evidencias complementarias: </w:t>
      </w:r>
      <w:r>
        <w:t>matriz-pruebas-s8.docx y EVIDENCIAS_ordenadas_vertical.docx. Las capturas y respuestas HTTP se identifican por ID.</w:t>
      </w:r>
    </w:p>
    <w:p>
      <w:pPr/>
      <w:r>
        <w:t>Nota de alcance: las fichas describen causas probables sustentadas en el código revisado y proponen correcciones; no afirman que esos defectos hayan sido corregidos en esta entrega.</w:t>
      </w:r>
    </w:p>
    <w:sectPr w:rsidR="00FC693F" w:rsidRPr="0006063C" w:rsidSect="00034616">
      <w:footerReference w:type="default" r:id="rId9"/>
      <w:pgSz w:w="11909" w:h="16834"/>
      <w:pgMar w:top="893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right"/>
    </w:pPr>
    <w:r>
      <w:rPr>
        <w:rFonts w:ascii="Arial" w:hAnsi="Arial"/>
        <w:color w:val="596B80"/>
        <w:sz w:val="14"/>
      </w:rPr>
      <w:t xml:space="preserve">PharmaSoft · Actividad autónoma S8   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26364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63B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876A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00"/>
      <w:contextualSpacing/>
    </w:pPr>
    <w:rPr>
      <w:rFonts w:asciiTheme="majorHAnsi" w:eastAsiaTheme="majorEastAsia" w:hAnsiTheme="majorHAnsi" w:cstheme="majorBidi" w:ascii="Arial" w:hAnsi="Arial"/>
      <w:b/>
      <w:color w:val="163B6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resultados y hallazgos - Actividad Autónoma Sesión 8</dc:title>
  <dc:subject>Pruebas de dependencias entre Categorías y Productos - PharmaSoft</dc:subject>
  <dc:creator>Mishelle Osorio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