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before="20"/>
        <w:rPr>
          <w:b/>
          <w:color w:val="0483F8"/>
          <w:sz w:val="44"/>
          <w:szCs w:val="44"/>
        </w:rPr>
      </w:pPr>
      <w:r>
        <w:rPr>
          <w:b/>
          <w:color w:val="0483F8"/>
          <w:sz w:val="44"/>
          <w:szCs w:val="44"/>
        </w:rPr>
        <w:t xml:space="preserve">Senior UX/UI-дизайнер, 6 лет опыта</w:t>
      </w:r>
    </w:p>
    <w:p>
      <w:pPr>
        <w:rPr>
          <w:bCs/>
          <w:color w:val="AEAAAA" w:themeColor="background2" w:themeShade="BF"/>
          <w:sz w:val="28"/>
          <w:szCs w:val="28"/>
        </w:rPr>
      </w:pPr>
      <w:r>
        <w:rPr>
          <w:bCs/>
          <w:color w:val="AEAAAA" w:themeColor="background2" w:themeShade="BF"/>
          <w:sz w:val="28"/>
          <w:szCs w:val="28"/>
        </w:rPr>
        <w:t xml:space="preserve">Михаил Н., 28 лет, Россия</w:t>
        <w:br/>
      </w:r>
    </w:p>
    <w:tbl>
      <w:tblPr>
        <w:tblStyle w:val="af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9"/>
        <w:gridCol w:w="4479"/>
      </w:tblGrid>
      <w:tr w:rsidR="00526E33" w14:paraId="4832C9BE" w14:textId="77777777" w:rsidTr="00222C66">
        <w:trPr>
          <w:trHeight w:val="624"/>
        </w:trPr>
        <w:tc>
          <w:tcPr>
            <w:tcW w:w="5039" w:type="dxa"/>
            <w:tcBorders>
              <w:bottom w:val="single" w:sz="4" w:space="0" w:color="auto"/>
            </w:tcBorders>
            <w:shd w:val="clear" w:color="auto" w:fill="auto"/>
          </w:tcPr>
          <w:p w14:paraId="49410562" w14:textId="77777777" w:rsidR="00526E33" w:rsidRDefault="00FC4D02">
            <w:pPr>
              <w:spacing w:before="57"/>
              <w:ind w:left="-108"/>
              <w:rPr>
                <w:b/>
                <w:bCs/>
                <w:color w:val="0483F8"/>
                <w:lang w:val="en-US"/>
              </w:rPr>
            </w:pPr>
            <w:r>
              <w:rPr>
                <w:b/>
                <w:bCs/>
                <w:color w:val="0483F8"/>
                <w:lang w:val="en-US"/>
              </w:rPr>
              <w:t>KEY</w:t>
            </w:r>
            <w:r>
              <w:rPr>
                <w:b/>
                <w:bCs/>
                <w:color w:val="0483F8"/>
              </w:rPr>
              <w:t xml:space="preserve"> SKILLS</w:t>
            </w:r>
            <w:r>
              <w:rPr>
                <w:b/>
                <w:bCs/>
                <w:color w:val="0483F8"/>
                <w:lang w:val="en-US"/>
              </w:rPr>
              <w:t xml:space="preserve"> (HARD &amp; SOFT)</w:t>
            </w:r>
          </w:p>
        </w:tc>
        <w:tc>
          <w:tcPr>
            <w:tcW w:w="4479" w:type="dxa"/>
            <w:tcBorders>
              <w:left w:val="none" w:sz="4" w:space="0" w:color="000000"/>
              <w:bottom w:val="single" w:sz="4" w:space="0" w:color="auto"/>
            </w:tcBorders>
          </w:tcPr>
          <w:p w14:paraId="5E784D1A" w14:textId="77777777" w:rsidR="00526E33" w:rsidRDefault="00526E33">
            <w:pPr>
              <w:spacing w:before="57"/>
              <w:ind w:left="-108"/>
              <w:rPr>
                <w:b/>
                <w:bCs/>
                <w:color w:val="0483F8"/>
              </w:rPr>
            </w:pPr>
          </w:p>
        </w:tc>
      </w:tr>
    </w:tbl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UX-исследования: глубинные интервью с пользователями и бизнес-заказчиками, юзабилити-тестирование, формирование гипотез по результатам исследований.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Решения на основе данных: проверка гипотез в итерациях тестирования, оценка по метрикам (время онбординга, ошибки, когнитивная нагрузка, скорость решения задач, трудозатраты разработки).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UX-проектирование: информационная архитектура, User flow, JTBD, User Story, CJM, ролевые модели, краевые состояния.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Сложные продукты для крупных компаний: ERP, CRM, MES, HR-системы, B2E — Web и Mobile (ОТП Банк, Лига Ставок, Новатэк, «Вкусно и точка»).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Аргументация решений: защита дизайна перед топ-менеджментом и заказчиками на основе данных интервью и логики бизнес-процессов.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Прототипирование: wireframes, интерактивные прототипы в Figma, высокодетализированные HTML-прототипы для тестирования сценариев.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UI и дизайн-системы: компоненты и токены в Figma, развитие общей дизайн-системы продукта, UI-kit, MUI.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Масштабирование интерфейсов на платформы и устройства: Web, iOS / Android, адаптивность, тёмная тема, доступность.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Визуальный язык: перенос брендбука в digital, иконографика, графический дизайн и брендированные материалы, микро-анимации интерфейсов.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AI-assisted design (Figma + Claude): сборка макетов на основе дизайн-системы, поддержка дизайн-кита, передача в разработку.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Передача в разработку и дизайнерское сопровождение реализации; плотная работа с продакт-менеджерами, аналитиками, фронтенд- и бэкенд-командами.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Дизайн-ревью, менторинг и координация младших дизайнеров (роль старшего дизайнера в Лиге Ставок и ОТП Банке).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  <w:sectPr>
          <w:headerReference w:type="default" r:id="rId8"/>
          <w:footerReference w:type="default" r:id="rId9"/>
          <w:headerReference w:type="first" r:id="rId10"/>
          <w:pgSz w:w="11906" w:h="16838"/>
          <w:pgMar w:top="1440" w:right="1077" w:bottom="1440" w:left="1077" w:header="567" w:footer="709" w:gutter="0"/>
          <w:cols w:space="720"/>
          <w:titlePg/>
          <w:docGrid w:linePitch="360"/>
        </w:sectPr>
      </w:pPr>
      <w:r>
        <w:rPr>
          <w:sz w:val="20"/>
          <w:szCs w:val="20"/>
        </w:rPr>
        <w:t xml:space="preserve">Инструменты: Figma, Miro, Draw.io, Confluence, Jira.</w:t>
      </w:r>
    </w:p>
    <w:p>
      <w:pPr>
        <w:rPr>
          <w:sz w:val="20"/>
          <w:szCs w:val="20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>
        <w:tc>
          <w:tcPr>
            <w:tcW w:w="9752" w:type="dxa"/>
          </w:tcPr>
          <w:p>
            <w:pPr>
              <w:pBdr>
                <w:bottom w:val="single" w:sz="4" w:space="1" w:color="auto"/>
              </w:pBdr>
              <w:spacing w:before="57"/>
              <w:rPr>
                <w:b/>
                <w:bCs/>
                <w:color w:val="0483F8"/>
              </w:rPr>
            </w:pPr>
            <w:r>
              <w:rPr>
                <w:b/>
                <w:bCs/>
                <w:color w:val="0483F8"/>
              </w:rPr>
              <w:t xml:space="preserve">ПРОЕКТЫ В ITFB И ПРЕДЫДУЩИЙ ОПЫТ – 6 лет</w:t>
            </w:r>
          </w:p>
        </w:tc>
      </w:tr>
      <w:tr>
        <w:tc>
          <w:tcPr>
            <w:tcW w:w="9752" w:type="dxa"/>
          </w:tcPr>
          <w:tbl>
            <w:tblPr>
              <w:tblW w:w="9957" w:type="dxa"/>
              <w:tblLook w:val="04A0" w:firstRow="1" w:lastRow="0" w:firstColumn="1" w:lastColumn="0" w:noHBand="0" w:noVBand="1"/>
            </w:tblPr>
            <w:tblGrid>
              <w:gridCol w:w="2285"/>
              <w:gridCol w:w="7672"/>
            </w:tblGrid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август 2026 – по настоящее время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(2 месяца)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АО «ОТП Банк» (Web B2B ERP) · фаза 2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Senior UX/UI Designer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spacing w:before="72"/>
                    <w:rPr>
                      <w:color w:val="404040" w:themeColor="text1" w:themeTint="BF"/>
                      <w:sz w:val="20"/>
                      <w:szCs w:val="20"/>
                    </w:rPr>
                  </w:pPr>
                  <w:r>
                    <w:rPr>
                      <w:color w:val="404040" w:themeColor="text1" w:themeTint="BF"/>
                      <w:sz w:val="20"/>
                      <w:szCs w:val="20"/>
                    </w:rPr>
                    <w:t xml:space="preserve">Вторая фаза развития внутренней HR-системы банка для формирования и отслеживания командных и индивидуальных целей: обновление интерфейса под новые бизнес-требования и расширение функционала платформы. Проект в процессе.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Обновляю интерфейс под новые бизнес-требования и расширение функционала платформы.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Проектирую сценарии с учётом ролевых моделей пользователей системы.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Готовлю высокодетализированные HTML-прототипы с помощью Claude, чтобы пользователь полностью погружался в сценарий при проверке.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Итеративно дорабатываю решения по результатам проведённых тестирований и интервью с пользователями.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Валидирую решения с заказчиками на каждом этапе.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Состав команды</w:t>
                  </w:r>
                </w:p>
                <w:p>
                  <w:pPr>
                    <w:pStyle w:val="ad"/>
                    <w:numPr>
                      <w:ilvl w:val="0"/>
                      <w:numId w:val="34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Продакт-менеджеры.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Figma, HTML-прототипирование, Claude (AI-assisted design), ролевые модели, usability testing, глубинные интервью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18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март 2026 – по настоящее время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(6 месяцев)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15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«Вкусно и точка» (Mobile &amp; Web B2E)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UX/UI Designer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spacing w:before="72"/>
                    <w:rPr>
                      <w:color w:val="404040" w:themeColor="text1" w:themeTint="BF"/>
                      <w:sz w:val="20"/>
                      <w:szCs w:val="20"/>
                    </w:rPr>
                  </w:pPr>
                  <w:r>
                    <w:rPr>
                      <w:color w:val="404040" w:themeColor="text1" w:themeTint="BF"/>
                      <w:sz w:val="20"/>
                      <w:szCs w:val="20"/>
                    </w:rPr>
                    <w:t xml:space="preserve">Проектирование с нуля корпоративного мобильного приложения для сотрудников сети ресторанов (20 000+ пользователей) и веб-админ-панели: новостная лента, календарь корпоративных событий, личные кабинеты сотрудника и предприятия, система баллов и поощрений, КЭДО, внутренний помощник (FAQ).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Провёл серию интервью с сотрудниками ПБО и офиса, проанализировал действующие бизнес-процессы и выявил узкие места, которые закрывает продукт.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Спроектировал продукт целиком: информационная архитектура, пользовательские сценарии, интерактивные прототипы в Figma для сборки целостной картины приложения.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Построил граф-схемы сценариев в Draw.io — путь пользователя от входа в сценарий до целевого действия, с ветвлениями, ролевой видимостью (6 уровней сотрудников) и проработкой краевых состояний.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Собрал и структурировал контент для внутреннего помощника: провёл интервью с сотрудниками, сформировал таксономию категорий вопросов и наполнение базы знаний FAQ как основу для автоматизации ответов.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Адаптировал брендбук компании под мобильный формат: перенёс фирменный визуальный язык в digital, собрал UI-kit под задачи приложения.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Выстроил связку Figma + Claude для управляемой сборки качественных макетов на основе дизайн-системы и предварительных пользовательских сценариев, сформированных из бизнес-требований и технических ограничений.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Защищал дизайн-решения перед топ-менеджментом заказчика, опираясь на данные интервью и логику бизнес-процессов.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Объяснял разработчикам логику сценариев, адаптировал дизайн под технические ограничения.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Достижения</w:t>
                  </w:r>
                </w:p>
                <w:p>
                  <w:pPr>
                    <w:pStyle w:val="ad"/>
                    <w:numPr>
                      <w:ilvl w:val="0"/>
                      <w:numId w:val="34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Решение → результат: автоматизировал поддержку дизайн-кита и передачу в разработку через Claude — по оценке команды разработки, время фронтенд-разработки сократилось до 40%.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Состав команды</w:t>
                  </w:r>
                </w:p>
                <w:p>
                  <w:pPr>
                    <w:pStyle w:val="ad"/>
                    <w:numPr>
                      <w:ilvl w:val="0"/>
                      <w:numId w:val="34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Продакт-менеджеры, арт-директор, бизнес- и системные аналитики, фронтенд- и бэкенд-команды.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Figma + Claude (AI-assisted design), Draw.io, User flow, JTBD, дизайн-системы, UI-kit, прототипирование интерфейсов, Knowledge Base / FAQ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18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декабрь 2024 – февраль 2026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(1 год 3 месяца)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15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Нефтесервисная компания «Бурсервис» (Web B2B MES)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UX/UI Designer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spacing w:before="72"/>
                    <w:rPr>
                      <w:color w:val="404040" w:themeColor="text1" w:themeTint="BF"/>
                      <w:sz w:val="20"/>
                      <w:szCs w:val="20"/>
                    </w:rPr>
                  </w:pPr>
                  <w:r>
                    <w:rPr>
                      <w:color w:val="404040" w:themeColor="text1" w:themeTint="BF"/>
                      <w:sz w:val="20"/>
                      <w:szCs w:val="20"/>
                    </w:rPr>
                    <w:t xml:space="preserve">Разработка MES-системы для проектирования, планирования и мониторинга производственного процесса строительства и бурения нефтегазовых скважин для инженеров и операторов.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Погрузился в узкопрофильный продукт со сложной информационной архитектурой.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Провёл серию глубинных интервью с пользователями.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Проанализировал и оптимизировал пользовательские сценарии текущего легаси-софта.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Спроектировал UX веб-интерфейса для инженеров по бурению.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Разработал гибкую палитру на основе токенов под запрос клиента для масштабирования на модули проекта.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Создал уникальную иконографику для проекта.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Менторил и координировал младших дизайнеров на проекте.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Достижения</w:t>
                  </w:r>
                </w:p>
                <w:p>
                  <w:pPr>
                    <w:pStyle w:val="ad"/>
                    <w:numPr>
                      <w:ilvl w:val="0"/>
                      <w:numId w:val="34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Собрал кастомизируемый интерфейс на основе MUI — сократил сроки разработки примерно на 600 часов и упростил масштабирование на другие подразделения и смежные продукты.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Figma, MUI, JTBD, User Story, UI-kit, токены, прототипирование интерфейсов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18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июль 2023 – декабрь 2024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(1 год 6 месяцев)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15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БК «Лига Ставок» (Web B2B CRM-ERP)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Senior UX/UI Designer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spacing w:before="72"/>
                    <w:rPr>
                      <w:color w:val="404040" w:themeColor="text1" w:themeTint="BF"/>
                      <w:sz w:val="20"/>
                      <w:szCs w:val="20"/>
                    </w:rPr>
                  </w:pPr>
                  <w:r>
                    <w:rPr>
                      <w:color w:val="404040" w:themeColor="text1" w:themeTint="BF"/>
                      <w:sz w:val="20"/>
                      <w:szCs w:val="20"/>
                    </w:rPr>
                    <w:t xml:space="preserve">Проектирование для ядра букмекерского бизнеса — внутренней системы для управления коэффициентами, обработки ставок и другими бизнес-процессами.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Погрузился в узкопрофильный продукт со сложной информационной архитектурой.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Настроил дизайн-процесс в команде разработки продукта.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Описывал и заводил новые компоненты и виджеты в общую дизайн-систему компании.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Проводил дизайн-ревью макетов как старший дизайнер.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Синхронизировался с кросс-командами: тесно работал с продакт-менеджерами, аналитиками, пользователями и командой разработки.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Достижения</w:t>
                  </w:r>
                </w:p>
                <w:p>
                  <w:pPr>
                    <w:pStyle w:val="ad"/>
                    <w:numPr>
                      <w:ilvl w:val="0"/>
                      <w:numId w:val="34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b/>
                      <w:bCs/>
                      <w:color w:val="404040" w:themeColor="text1" w:themeTint="BF"/>
                    </w:rPr>
                    <w:t xml:space="preserve">Проблема: </w:t>
                  </w:r>
                  <w:r>
                    <w:rPr>
                      <w:color w:val="404040" w:themeColor="text1" w:themeTint="BF"/>
                    </w:rPr>
                    <w:t xml:space="preserve">сложный онбординг в систему занимал много времени и требовал высокой когнитивной нагрузки при обучении.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4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b/>
                      <w:bCs/>
                      <w:color w:val="404040" w:themeColor="text1" w:themeTint="BF"/>
                    </w:rPr>
                    <w:t xml:space="preserve">Гипотезы: </w:t>
                  </w:r>
                  <w:r>
                    <w:rPr>
                      <w:color w:val="404040" w:themeColor="text1" w:themeTint="BF"/>
                    </w:rPr>
                    <w:t xml:space="preserve">сформировал по итогам серии глубинных интервью с пользователями.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4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b/>
                      <w:bCs/>
                      <w:color w:val="404040" w:themeColor="text1" w:themeTint="BF"/>
                    </w:rPr>
                    <w:t xml:space="preserve">Решение: </w:t>
                  </w:r>
                  <w:r>
                    <w:rPr>
                      <w:color w:val="404040" w:themeColor="text1" w:themeTint="BF"/>
                    </w:rPr>
                    <w:t xml:space="preserve">спроектировал UX для 3 групп пользователей (250+ человек) с упором на упрощение онбординга.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4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b/>
                      <w:bCs/>
                      <w:color w:val="404040" w:themeColor="text1" w:themeTint="BF"/>
                    </w:rPr>
                    <w:t xml:space="preserve">Проверка: </w:t>
                  </w:r>
                  <w:r>
                    <w:rPr>
                      <w:color w:val="404040" w:themeColor="text1" w:themeTint="BF"/>
                    </w:rPr>
                    <w:t xml:space="preserve">несколько итераций usability-тестирований с доработкой решений между ними.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4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b/>
                      <w:bCs/>
                      <w:color w:val="404040" w:themeColor="text1" w:themeTint="BF"/>
                    </w:rPr>
                    <w:t xml:space="preserve">Результат: </w:t>
                  </w:r>
                  <w:r>
                    <w:rPr>
                      <w:color w:val="404040" w:themeColor="text1" w:themeTint="BF"/>
                    </w:rPr>
                    <w:t xml:space="preserve">онбординг сократился; количество ошибок снизилось на 24%, когнитивная нагрузка — на 36%, скорость решения задач выросла.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Состав команды</w:t>
                  </w:r>
                </w:p>
                <w:p>
                  <w:pPr>
                    <w:pStyle w:val="ad"/>
                    <w:numPr>
                      <w:ilvl w:val="0"/>
                      <w:numId w:val="34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Продакт-менеджеры, аналитики, команда разработки, кросс-функциональные продуктовые команды.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Figma, User flow, JTBD, User Story, CJM, дизайн-системы, usability testing, прототипирование интерфейсов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18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март 2023 – июль 2023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(5 месяцев)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15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АО «ОТП Банк» (Web B2B ERP) · фаза 1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Senior UX/UI Designer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spacing w:before="72"/>
                    <w:rPr>
                      <w:color w:val="404040" w:themeColor="text1" w:themeTint="BF"/>
                      <w:sz w:val="20"/>
                      <w:szCs w:val="20"/>
                    </w:rPr>
                  </w:pPr>
                  <w:r>
                    <w:rPr>
                      <w:color w:val="404040" w:themeColor="text1" w:themeTint="BF"/>
                      <w:sz w:val="20"/>
                      <w:szCs w:val="20"/>
                    </w:rPr>
                    <w:t xml:space="preserve">Проектирование внутренней HR-системы для формирования и отслеживания командных и индивидуальных целей по всем сотрудникам банка для увеличения эффективности работы.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Провёл интервью с бизнес-заказчиками для выявления реальных проблем и требований.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Проработал User flow и JTBD.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Спроектировал UX/UI ERP-системы для формирования и отслеживания выполнения целей команд и сотрудников.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Адаптировал дизайн под технические ограничения совместно с аналитиками и разработчиками.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Как старший дизайнер ставил задачи младшим дизайнерам, проводил дизайн-ревью и менторил команду.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Состав команды</w:t>
                  </w:r>
                </w:p>
                <w:p>
                  <w:pPr>
                    <w:pStyle w:val="ad"/>
                    <w:numPr>
                      <w:ilvl w:val="0"/>
                      <w:numId w:val="34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Продакт-менеджеры, аналитики, разработчики, младшие дизайнеры.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Figma, User flow, JTBD, User Story, UI/UX, UI-kit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18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октябрь 2022 – февраль 2023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(5 месяцев)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15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ООО «Новатэк НТЦ» (Web &amp; Mobile B2B MES)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UX/UI Designer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spacing w:before="72"/>
                    <w:rPr>
                      <w:color w:val="404040" w:themeColor="text1" w:themeTint="BF"/>
                      <w:sz w:val="20"/>
                      <w:szCs w:val="20"/>
                    </w:rPr>
                  </w:pPr>
                  <w:r>
                    <w:rPr>
                      <w:color w:val="404040" w:themeColor="text1" w:themeTint="BF"/>
                      <w:sz w:val="20"/>
                      <w:szCs w:val="20"/>
                    </w:rPr>
                    <w:t xml:space="preserve">Проектирование автоматизированной системы мониторинга процессов на всех промышленных объектах НТЦ — «Производственная сводка».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Проанализировал функциональные требования и технические ограничения, погрузился в предметную область.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Провёл глубинные интервью с сотрудниками Научно-технического центра и описал JTBD.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Спроектировал универсальный каркас для представления оперативной информации о состоянии работ на всех объектах НТЦ.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Унифицировал и стандартизировал отображаемые данные, визуализировал ключевые показатели.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Спроектировал модульный принцип поведения основных смысловых блоков и разделов Производственной сводки.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Спроектировал интерфейс взаимодействия оператора с системой.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Адаптировал интерфейс под мобильные устройства и для людей с ограниченными возможностями; проработал тёмную тему, масштабирование и краевые состояния.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Разработал интерфейсные микро-анимации.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Создал кликабельные прототипы и протестировал их с конечными пользователями.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Подготовил и передал макеты в разработку, сопровождал реализацию.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Figma, JTBD, CJM, UI/UX, UI-kit, прототипирование интерфейсов, iOS / Android guidelines, usability testing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18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декабрь 2021 – февраль 2023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(1 год 3 месяца)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15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Clicker (Web B2B CRM)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UX/UI Designer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spacing w:before="72"/>
                    <w:rPr>
                      <w:color w:val="404040" w:themeColor="text1" w:themeTint="BF"/>
                      <w:sz w:val="20"/>
                      <w:szCs w:val="20"/>
                    </w:rPr>
                  </w:pPr>
                  <w:r>
                    <w:rPr>
                      <w:color w:val="404040" w:themeColor="text1" w:themeTint="BF"/>
                      <w:sz w:val="20"/>
                      <w:szCs w:val="20"/>
                    </w:rPr>
                    <w:t xml:space="preserve">Работа в продуктовой команде CRM-системы для компании из сферы услуг по установке и сборке товаров для ритейлеров и производителей.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Спроектировал интерфейсы системы создания и контроля заказов для монтажников и операторов.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Провёл глубинные интервью с представителями бизнеса и пользователями, сформировал user flow и информационную архитектуру проекта.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Итеративно улучшал UX на основе фидбека пользователей и бизнес-целей.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Достижения</w:t>
                  </w:r>
                </w:p>
                <w:p>
                  <w:pPr>
                    <w:pStyle w:val="ad"/>
                    <w:numPr>
                      <w:ilvl w:val="0"/>
                      <w:numId w:val="34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Собрал UX/UI-систему на основе компонентов под React Native, что ускорило разработку.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Figma, React Native, User flow, CJM, UI/UX, прототипирование интерфейсов, usability testing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18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октябрь 2022 – декабрь 2024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(2 года 2 месяца)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15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Helper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Ментор / UX/UI Designer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Менторил начинающих дизайнеров в сервисе для их профессионального развития.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User flow, JTBD, UI-kit, iOS / Android guidelines, Jira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18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апрель 2021 – сентябрь 2022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(1 год 6 месяцев)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15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Funky.Agency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UX/UI Designer / Graphic Designer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Разрабатывал коммуникационный дизайн: лендинги, рекламные креативы и баннеры.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Создавал айдентику для брендов и проектов.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Проектировал сайты с акцентом на пользовательский опыт и современные тренды.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Собирал сайты на платформах Tilda, Readymag и Webflow.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Tilda, Readymag, Webflow, User flow, JTBD, UI-kit, iOS / Android guidelines, Jira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18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октябрь 2020 – апрель 2021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(7 месяцев)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15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Apiqa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UX/UI Designer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Разрабатывал прототипы интерфейсов.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Проектировал интерфейсы с учётом пользовательского опыта.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Создавал иллюстрации и иконки для интерфейсов.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UI-kit, прототипирование интерфейсов</w:t>
                  </w:r>
                </w:p>
              </w:tc>
            </w:tr>
          </w:tbl>
          <w:p>
            <w:pPr>
              <w:pStyle w:val="ad"/>
              <w:spacing w:before="54" w:line="211" w:lineRule="auto"/>
              <w:ind w:left="-108" w:right="77"/>
              <w:rPr>
                <w:bCs/>
                <w:color w:val="AEAAAA"/>
              </w:rPr>
            </w:pPr>
          </w:p>
        </w:tc>
      </w:tr>
    </w:tbl>
    <w:p>
      <w:pPr>
        <w:keepNext/>
        <w:pBdr>
          <w:bottom w:val="single" w:sz="4" w:space="1" w:color="auto"/>
        </w:pBdr>
        <w:spacing w:before="180"/>
        <w:rPr>
          <w:b/>
          <w:bCs/>
          <w:color w:val="0483F8"/>
        </w:rPr>
      </w:pPr>
      <w:r>
        <w:rPr>
          <w:b/>
          <w:bCs/>
          <w:color w:val="0483F8"/>
        </w:rPr>
        <w:t xml:space="preserve">ОБРАЗОВАНИЕ</w:t>
      </w:r>
    </w:p>
    <w:p>
      <w:pPr>
        <w:pStyle w:val="ad"/>
        <w:spacing w:before="48" w:line="211" w:lineRule="auto"/>
        <w:rPr>
          <w:color w:val="404040" w:themeColor="text1" w:themeTint="BF"/>
          <w:sz w:val="22"/>
          <w:szCs w:val="22"/>
        </w:rPr>
      </w:pPr>
      <w:r>
        <w:rPr>
          <w:color w:val="404040" w:themeColor="text1" w:themeTint="BF"/>
          <w:sz w:val="22"/>
          <w:szCs w:val="22"/>
        </w:rPr>
        <w:t xml:space="preserve">УГАХА, Уральская государственная архитектурно-художественная академия, Екатеринбург. Специальность — «Дизайн», графический дизайнер, 2020.</w:t>
      </w:r>
    </w:p>
    <w:p>
      <w:pPr>
        <w:pStyle w:val="ad"/>
        <w:spacing w:before="48" w:line="211" w:lineRule="auto"/>
        <w:rPr>
          <w:color w:val="404040" w:themeColor="text1" w:themeTint="BF"/>
          <w:sz w:val="22"/>
          <w:szCs w:val="22"/>
        </w:rPr>
      </w:pPr>
      <w:r>
        <w:rPr>
          <w:color w:val="404040" w:themeColor="text1" w:themeTint="BF"/>
          <w:sz w:val="22"/>
          <w:szCs w:val="22"/>
        </w:rPr>
        <w:t xml:space="preserve">Курс «Дизайн-системы: погружение» (А. Сундиев), 2022.</w:t>
      </w:r>
    </w:p>
    <w:p>
      <w:pPr>
        <w:keepNext/>
        <w:pBdr>
          <w:bottom w:val="single" w:sz="4" w:space="1" w:color="auto"/>
        </w:pBdr>
        <w:spacing w:before="180"/>
        <w:rPr>
          <w:b/>
          <w:bCs/>
          <w:color w:val="0483F8"/>
        </w:rPr>
      </w:pPr>
      <w:r>
        <w:rPr>
          <w:b/>
          <w:bCs/>
          <w:color w:val="0483F8"/>
        </w:rPr>
        <w:t xml:space="preserve">ЗНАНИЕ ЯЗЫКОВ</w:t>
      </w:r>
    </w:p>
    <w:p>
      <w:pPr>
        <w:pStyle w:val="ad"/>
        <w:spacing w:before="48" w:line="211" w:lineRule="auto"/>
        <w:rPr>
          <w:color w:val="404040" w:themeColor="text1" w:themeTint="BF"/>
          <w:sz w:val="22"/>
          <w:szCs w:val="22"/>
        </w:rPr>
      </w:pPr>
      <w:r>
        <w:rPr>
          <w:color w:val="404040" w:themeColor="text1" w:themeTint="BF"/>
          <w:sz w:val="22"/>
          <w:szCs w:val="22"/>
        </w:rPr>
        <w:t xml:space="preserve">Русский — родной.</w:t>
      </w:r>
    </w:p>
    <w:p>
      <w:pPr>
        <w:pStyle w:val="ad"/>
        <w:spacing w:before="48" w:line="211" w:lineRule="auto"/>
        <w:rPr>
          <w:color w:val="404040" w:themeColor="text1" w:themeTint="BF"/>
          <w:sz w:val="22"/>
          <w:szCs w:val="22"/>
        </w:rPr>
      </w:pPr>
      <w:r>
        <w:rPr>
          <w:color w:val="404040" w:themeColor="text1" w:themeTint="BF"/>
          <w:sz w:val="22"/>
          <w:szCs w:val="22"/>
        </w:rPr>
        <w:t xml:space="preserve">Английский — B2 (выше среднего).</w:t>
      </w:r>
    </w:p>
    <w:sectPr>
      <w:type w:val="continuous"/>
      <w:pgSz w:w="11906" w:h="16838"/>
      <w:pgMar w:top="1440" w:right="1077" w:bottom="1440" w:left="1077" w:header="567" w:footer="709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CF7990" w14:textId="77777777" w:rsidR="007F4752" w:rsidRDefault="007F4752">
      <w:r>
        <w:separator/>
      </w:r>
    </w:p>
  </w:endnote>
  <w:endnote w:type="continuationSeparator" w:id="0">
    <w:p w14:paraId="1ED7DF38" w14:textId="77777777" w:rsidR="007F4752" w:rsidRDefault="007F47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09C674" w14:textId="77777777" w:rsidR="00526E33" w:rsidRDefault="00FC4D02">
    <w:pPr>
      <w:pStyle w:val="af2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5680" behindDoc="1" locked="0" layoutInCell="1" allowOverlap="1" wp14:anchorId="636F6685" wp14:editId="43BCDDE0">
              <wp:simplePos x="0" y="0"/>
              <wp:positionH relativeFrom="column">
                <wp:posOffset>5897880</wp:posOffset>
              </wp:positionH>
              <wp:positionV relativeFrom="page">
                <wp:posOffset>8375650</wp:posOffset>
              </wp:positionV>
              <wp:extent cx="969010" cy="2306955"/>
              <wp:effectExtent l="0" t="0" r="2540" b="0"/>
              <wp:wrapNone/>
              <wp:docPr id="5" name="docshape5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 bwMode="auto">
                      <a:xfrm>
                        <a:off x="0" y="0"/>
                        <a:ext cx="969010" cy="2306955"/>
                      </a:xfrm>
                      <a:custGeom>
                        <a:avLst/>
                        <a:gdLst>
                          <a:gd name="T0" fmla="+- 0 11905 10380"/>
                          <a:gd name="T1" fmla="*/ T0 w 1526"/>
                          <a:gd name="T2" fmla="+- 0 2857 2857"/>
                          <a:gd name="T3" fmla="*/ 2857 h 3633"/>
                          <a:gd name="T4" fmla="+- 0 11338 10380"/>
                          <a:gd name="T5" fmla="*/ T4 w 1526"/>
                          <a:gd name="T6" fmla="+- 0 2857 2857"/>
                          <a:gd name="T7" fmla="*/ 2857 h 3633"/>
                          <a:gd name="T8" fmla="+- 0 10380 10380"/>
                          <a:gd name="T9" fmla="*/ T8 w 1526"/>
                          <a:gd name="T10" fmla="+- 0 6490 2857"/>
                          <a:gd name="T11" fmla="*/ 6490 h 3633"/>
                          <a:gd name="T12" fmla="+- 0 11905 10380"/>
                          <a:gd name="T13" fmla="*/ T12 w 1526"/>
                          <a:gd name="T14" fmla="+- 0 6490 2857"/>
                          <a:gd name="T15" fmla="*/ 6490 h 3633"/>
                          <a:gd name="T16" fmla="+- 0 11905 10380"/>
                          <a:gd name="T17" fmla="*/ T16 w 1526"/>
                          <a:gd name="T18" fmla="+- 0 2857 2857"/>
                          <a:gd name="T19" fmla="*/ 2857 h 3633"/>
                        </a:gdLst>
                        <a:ahLst/>
                        <a:cxnLst>
                          <a:cxn ang="0">
                            <a:pos x="T1" y="T3"/>
                          </a:cxn>
                          <a:cxn ang="0">
                            <a:pos x="T5" y="T7"/>
                          </a:cxn>
                          <a:cxn ang="0">
                            <a:pos x="T9" y="T11"/>
                          </a:cxn>
                          <a:cxn ang="0">
                            <a:pos x="T13" y="T15"/>
                          </a:cxn>
                          <a:cxn ang="0">
                            <a:pos x="T17" y="T19"/>
                          </a:cxn>
                        </a:cxnLst>
                        <a:rect l="0" t="0" r="r" b="b"/>
                        <a:pathLst>
                          <a:path w="1526" h="3633" extrusionOk="0">
                            <a:moveTo>
                              <a:pt x="1525" y="0"/>
                            </a:moveTo>
                            <a:lnTo>
                              <a:pt x="958" y="0"/>
                            </a:lnTo>
                            <a:lnTo>
                              <a:pt x="0" y="3633"/>
                            </a:lnTo>
                            <a:lnTo>
                              <a:pt x="1525" y="3633"/>
                            </a:lnTo>
                            <a:lnTo>
                              <a:pt x="1525" y="0"/>
                            </a:lnTo>
                            <a:close/>
                          </a:path>
                        </a:pathLst>
                      </a:custGeom>
                      <a:solidFill>
                        <a:srgbClr val="0483F8">
                          <a:alpha val="26998"/>
                        </a:srgbClr>
                      </a:solidFill>
                      <a:ln>
                        <a:noFill/>
                      </a:ln>
                    </wps:spPr>
                    <wps:style>
                      <a:lnRef idx="0">
                        <a:srgbClr val="000000">
                          <a:alpha val="0"/>
                        </a:srgbClr>
                      </a:lnRef>
                      <a:fillRef idx="0">
                        <a:srgbClr val="000000">
                          <a:alpha val="0"/>
                        </a:srgbClr>
                      </a:fillRef>
                      <a:effectRef idx="0">
                        <a:srgbClr val="000000">
                          <a:alpha val="0"/>
                        </a:srgbClr>
                      </a:effectRef>
                      <a:fontRef idx="none">
                        <a:srgbClr val="000000">
                          <a:alpha val="0"/>
                        </a:srgbClr>
                      </a:fontRef>
                    </wps:style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a="http://schemas.openxmlformats.org/drawingml/2006/main" xmlns:oel="http://schemas.microsoft.com/office/2019/extlst">
          <w:pict>
            <v:shape id="shape 6" o:spid="_x0000_s6" style="position:absolute;mso-wrap-distance-left:9.0pt;mso-wrap-distance-top:0.0pt;mso-wrap-distance-right:9.0pt;mso-wrap-distance-bottom:0.0pt;z-index:-251655680;o:allowoverlap:true;o:allowincell:true;mso-position-horizontal-relative:text;margin-left:464.4pt;mso-position-horizontal:absolute;mso-position-vertical-relative:page;margin-top:659.5pt;mso-position-vertical:absolute;width:76.3pt;height:181.6pt;" coordsize="100000,100000" path="m99930,0l62775,0l0,100000l99930,100000l99930,0xe" fillcolor="#0483F8" stroked="f">
              <v:path textboxrect="0,0,99996,100000"/>
              <v:fill opacity="-17376f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35913B" w14:textId="77777777" w:rsidR="007F4752" w:rsidRDefault="007F4752">
      <w:r>
        <w:separator/>
      </w:r>
    </w:p>
  </w:footnote>
  <w:footnote w:type="continuationSeparator" w:id="0">
    <w:p w14:paraId="167F7C67" w14:textId="77777777" w:rsidR="007F4752" w:rsidRDefault="007F475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EFECBC" w14:textId="77777777" w:rsidR="00526E33" w:rsidRDefault="00FC4D02">
    <w:pPr>
      <w:pStyle w:val="af0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9776" behindDoc="1" locked="0" layoutInCell="1" allowOverlap="1" wp14:anchorId="20EB8C26" wp14:editId="076C5E6E">
              <wp:simplePos x="0" y="0"/>
              <wp:positionH relativeFrom="column">
                <wp:posOffset>-685800</wp:posOffset>
              </wp:positionH>
              <wp:positionV relativeFrom="page">
                <wp:posOffset>-8255</wp:posOffset>
              </wp:positionV>
              <wp:extent cx="724535" cy="2124075"/>
              <wp:effectExtent l="0" t="0" r="0" b="9525"/>
              <wp:wrapNone/>
              <wp:docPr id="1" name="Группа 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724535" cy="2124075"/>
                        <a:chOff x="0" y="0"/>
                        <a:chExt cx="724535" cy="2124075"/>
                      </a:xfrm>
                    </wpg:grpSpPr>
                    <wps:wsp>
                      <wps:cNvPr id="2" name="Полилиния: фигура 2"/>
                      <wps:cNvSpPr/>
                      <wps:spPr bwMode="auto">
                        <a:xfrm>
                          <a:off x="0" y="0"/>
                          <a:ext cx="724535" cy="2124075"/>
                        </a:xfrm>
                        <a:custGeom>
                          <a:avLst/>
                          <a:gdLst>
                            <a:gd name="T0" fmla="*/ 1140 w 1141"/>
                            <a:gd name="T1" fmla="*/ 0 h 3345"/>
                            <a:gd name="T2" fmla="*/ 0 w 1141"/>
                            <a:gd name="T3" fmla="*/ 0 h 3345"/>
                            <a:gd name="T4" fmla="*/ 0 w 1141"/>
                            <a:gd name="T5" fmla="*/ 3344 h 3345"/>
                            <a:gd name="T6" fmla="*/ 258 w 1141"/>
                            <a:gd name="T7" fmla="*/ 3344 h 3345"/>
                            <a:gd name="T8" fmla="*/ 1140 w 1141"/>
                            <a:gd name="T9" fmla="*/ 0 h 334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141" h="3345" extrusionOk="0">
                              <a:moveTo>
                                <a:pt x="1140" y="0"/>
                              </a:moveTo>
                              <a:lnTo>
                                <a:pt x="0" y="0"/>
                              </a:lnTo>
                              <a:lnTo>
                                <a:pt x="0" y="3344"/>
                              </a:lnTo>
                              <a:lnTo>
                                <a:pt x="258" y="3344"/>
                              </a:lnTo>
                              <a:lnTo>
                                <a:pt x="114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483F8">
                            <a:alpha val="26998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rgbClr val="000000">
                            <a:alpha val="0"/>
                          </a:srgbClr>
                        </a:effectRef>
                        <a:fontRef idx="none">
                          <a:srgbClr val="000000">
                            <a:alpha val="0"/>
                          </a:srgbClr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" name="Полилиния: фигура 3"/>
                      <wps:cNvSpPr/>
                      <wps:spPr bwMode="auto">
                        <a:xfrm>
                          <a:off x="0" y="0"/>
                          <a:ext cx="480060" cy="793750"/>
                        </a:xfrm>
                        <a:custGeom>
                          <a:avLst/>
                          <a:gdLst>
                            <a:gd name="T0" fmla="*/ 755 w 756"/>
                            <a:gd name="T1" fmla="*/ 0 h 1250"/>
                            <a:gd name="T2" fmla="*/ 686 w 756"/>
                            <a:gd name="T3" fmla="*/ 0 h 1250"/>
                            <a:gd name="T4" fmla="*/ 374 w 756"/>
                            <a:gd name="T5" fmla="*/ 1182 h 1250"/>
                            <a:gd name="T6" fmla="*/ 0 w 756"/>
                            <a:gd name="T7" fmla="*/ 1182 h 1250"/>
                            <a:gd name="T8" fmla="*/ 0 w 756"/>
                            <a:gd name="T9" fmla="*/ 1249 h 1250"/>
                            <a:gd name="T10" fmla="*/ 426 w 756"/>
                            <a:gd name="T11" fmla="*/ 1249 h 1250"/>
                            <a:gd name="T12" fmla="*/ 755 w 756"/>
                            <a:gd name="T13" fmla="*/ 0 h 125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756" h="1250" extrusionOk="0">
                              <a:moveTo>
                                <a:pt x="755" y="0"/>
                              </a:moveTo>
                              <a:lnTo>
                                <a:pt x="686" y="0"/>
                              </a:lnTo>
                              <a:lnTo>
                                <a:pt x="374" y="1182"/>
                              </a:lnTo>
                              <a:lnTo>
                                <a:pt x="0" y="1182"/>
                              </a:lnTo>
                              <a:lnTo>
                                <a:pt x="0" y="1249"/>
                              </a:lnTo>
                              <a:lnTo>
                                <a:pt x="426" y="1249"/>
                              </a:lnTo>
                              <a:lnTo>
                                <a:pt x="7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483F8"/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rgbClr val="000000">
                            <a:alpha val="0"/>
                          </a:srgbClr>
                        </a:effectRef>
                        <a:fontRef idx="none">
                          <a:srgbClr val="000000">
                            <a:alpha val="0"/>
                          </a:srgbClr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 xmlns:a="http://schemas.openxmlformats.org/drawingml/2006/main" xmlns:oel="http://schemas.microsoft.com/office/2019/extlst">
          <w:pict>
            <v:group id="group 0" o:spid="_x0000_s0000" style="position:absolute;mso-wrap-distance-left:9.0pt;mso-wrap-distance-top:0.0pt;mso-wrap-distance-right:9.0pt;mso-wrap-distance-bottom:0.0pt;z-index:-251659776;o:allowoverlap:true;o:allowincell:true;mso-position-horizontal-relative:text;margin-left:-54.0pt;mso-position-horizontal:absolute;mso-position-vertical-relative:page;margin-top:-0.7pt;mso-position-vertical:absolute;width:57.0pt;height:167.2pt;" coordorigin="0,0" coordsize="7245,21240">
              <v:shape id="shape 1" o:spid="_x0000_s1" style="position:absolute;left:0;top:0;width:7245;height:21240;" coordsize="100000,100000" path="m99906,0l0,0l0,99970l22612,99970l99906,0xe" fillcolor="#0483F8" stroked="f">
                <v:path textboxrect="0,0,99994,100000"/>
                <v:fill opacity="-17376f"/>
              </v:shape>
              <v:shape id="shape 2" o:spid="_x0000_s2" style="position:absolute;left:0;top:0;width:4800;height:7937;" coordsize="100000,100000" path="m99865,0l90740,0l49469,94558l0,94558l0,99919l56347,99919l99865,0xe" fillcolor="#0483F8" stroked="f">
                <v:path textboxrect="0,0,99998,100000"/>
              </v:shape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C26249" w14:textId="77777777" w:rsidR="00526E33" w:rsidRDefault="00FC4D02">
    <w:pPr>
      <w:pStyle w:val="af0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8752" behindDoc="0" locked="0" layoutInCell="1" allowOverlap="1" wp14:anchorId="3F98A0E2" wp14:editId="5D60D504">
              <wp:simplePos x="0" y="0"/>
              <wp:positionH relativeFrom="column">
                <wp:posOffset>141605</wp:posOffset>
              </wp:positionH>
              <wp:positionV relativeFrom="paragraph">
                <wp:posOffset>-182245</wp:posOffset>
              </wp:positionV>
              <wp:extent cx="561340" cy="558800"/>
              <wp:effectExtent l="0" t="0" r="0" b="0"/>
              <wp:wrapNone/>
              <wp:docPr id="7" name="Рисунок 16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"/>
                      <pic:cNvPicPr>
                        <a:picLocks noChangeAspect="1"/>
                      </pic:cNvPicPr>
                    </pic:nvPicPr>
                    <pic:blipFill>
                      <a:blip r:embed="rId1"/>
                      <a:stretch/>
                    </pic:blipFill>
                    <pic:spPr bwMode="auto">
                      <a:xfrm>
                        <a:off x="0" y="0"/>
                        <a:ext cx="563305" cy="56050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anchor>
          </w:drawing>
        </mc:Choice>
        <mc:Fallback xmlns:a="http://schemas.openxmlformats.org/drawingml/2006/main" xmlns:oel="http://schemas.microsoft.com/office/2019/extlst">
          <w:pict>
            <v:shapetype type="#_x0000_t75" o:spt="75" coordsize="21600,21600" o:preferrelative="t" path="m@4@5l@4@11@9@11@9@5xe"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</v:shapetype>
            <v:shape id="_x0000_i3" o:spid="_x0000_s3" type="#_x0000_t75" style="position:absolute;mso-wrap-distance-left:9.0pt;mso-wrap-distance-top:0.0pt;mso-wrap-distance-right:9.0pt;mso-wrap-distance-bottom:0.0pt;z-index:251658752;o:allowoverlap:true;o:allowincell:true;mso-position-horizontal-relative:text;margin-left:11.1pt;mso-position-horizontal:absolute;mso-position-vertical-relative:text;margin-top:-14.3pt;mso-position-vertical:absolute;width:44.2pt;height:44.0pt;" stroked="f">
              <v:path textboxrect="0,0,0,0"/>
              <v:imagedata r:id="rId2" o:title=""/>
            </v:shape>
          </w:pict>
        </mc:Fallback>
      </mc:AlternateContent>
    </w: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7728" behindDoc="0" locked="0" layoutInCell="1" allowOverlap="1" wp14:anchorId="66D8EF44" wp14:editId="2B5FE45D">
              <wp:simplePos x="0" y="0"/>
              <wp:positionH relativeFrom="column">
                <wp:posOffset>5932805</wp:posOffset>
              </wp:positionH>
              <wp:positionV relativeFrom="paragraph">
                <wp:posOffset>-474980</wp:posOffset>
              </wp:positionV>
              <wp:extent cx="1252855" cy="1163955"/>
              <wp:effectExtent l="0" t="0" r="4445" b="0"/>
              <wp:wrapNone/>
              <wp:docPr id="4" name="docshape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 bwMode="auto">
                      <a:xfrm>
                        <a:off x="0" y="0"/>
                        <a:ext cx="1252930" cy="1164124"/>
                      </a:xfrm>
                      <a:custGeom>
                        <a:avLst/>
                        <a:gdLst>
                          <a:gd name="T0" fmla="+- 0 10629 10112"/>
                          <a:gd name="T1" fmla="*/ T0 w 1794"/>
                          <a:gd name="T2" fmla="*/ 0 h 1667"/>
                          <a:gd name="T3" fmla="+- 0 10552 10112"/>
                          <a:gd name="T4" fmla="*/ T3 w 1794"/>
                          <a:gd name="T5" fmla="*/ 0 h 1667"/>
                          <a:gd name="T6" fmla="+- 0 10112 10112"/>
                          <a:gd name="T7" fmla="*/ T6 w 1794"/>
                          <a:gd name="T8" fmla="*/ 1666 h 1667"/>
                          <a:gd name="T9" fmla="+- 0 11906 10112"/>
                          <a:gd name="T10" fmla="*/ T9 w 1794"/>
                          <a:gd name="T11" fmla="*/ 1666 h 1667"/>
                          <a:gd name="T12" fmla="+- 0 11906 10112"/>
                          <a:gd name="T13" fmla="*/ T12 w 1794"/>
                          <a:gd name="T14" fmla="*/ 1584 h 1667"/>
                          <a:gd name="T15" fmla="+- 0 11904 10112"/>
                          <a:gd name="T16" fmla="*/ T15 w 1794"/>
                          <a:gd name="T17" fmla="*/ 1592 h 1667"/>
                          <a:gd name="T18" fmla="+- 0 10209 10112"/>
                          <a:gd name="T19" fmla="*/ T18 w 1794"/>
                          <a:gd name="T20" fmla="*/ 1592 h 1667"/>
                          <a:gd name="T21" fmla="+- 0 10629 10112"/>
                          <a:gd name="T22" fmla="*/ T21 w 1794"/>
                          <a:gd name="T23" fmla="*/ 0 h 1667"/>
                        </a:gdLst>
                        <a:ahLst/>
                        <a:cxnLst>
                          <a:cxn ang="0">
                            <a:pos x="T1" y="T2"/>
                          </a:cxn>
                          <a:cxn ang="0">
                            <a:pos x="T4" y="T5"/>
                          </a:cxn>
                          <a:cxn ang="0">
                            <a:pos x="T7" y="T8"/>
                          </a:cxn>
                          <a:cxn ang="0">
                            <a:pos x="T10" y="T11"/>
                          </a:cxn>
                          <a:cxn ang="0">
                            <a:pos x="T13" y="T14"/>
                          </a:cxn>
                          <a:cxn ang="0">
                            <a:pos x="T16" y="T17"/>
                          </a:cxn>
                          <a:cxn ang="0">
                            <a:pos x="T19" y="T20"/>
                          </a:cxn>
                          <a:cxn ang="0">
                            <a:pos x="T22" y="T23"/>
                          </a:cxn>
                        </a:cxnLst>
                        <a:rect l="0" t="0" r="r" b="b"/>
                        <a:pathLst>
                          <a:path w="1794" h="1667" extrusionOk="0">
                            <a:moveTo>
                              <a:pt x="517" y="0"/>
                            </a:moveTo>
                            <a:lnTo>
                              <a:pt x="440" y="0"/>
                            </a:lnTo>
                            <a:lnTo>
                              <a:pt x="0" y="1666"/>
                            </a:lnTo>
                            <a:lnTo>
                              <a:pt x="1794" y="1666"/>
                            </a:lnTo>
                            <a:lnTo>
                              <a:pt x="1794" y="1584"/>
                            </a:lnTo>
                            <a:lnTo>
                              <a:pt x="1792" y="1592"/>
                            </a:lnTo>
                            <a:lnTo>
                              <a:pt x="97" y="1592"/>
                            </a:lnTo>
                            <a:lnTo>
                              <a:pt x="517" y="0"/>
                            </a:lnTo>
                            <a:close/>
                          </a:path>
                        </a:pathLst>
                      </a:custGeom>
                      <a:solidFill>
                        <a:srgbClr val="0483F8"/>
                      </a:solidFill>
                      <a:ln>
                        <a:noFill/>
                      </a:ln>
                    </wps:spPr>
                    <wps:style>
                      <a:lnRef idx="0">
                        <a:srgbClr val="000000">
                          <a:alpha val="0"/>
                        </a:srgbClr>
                      </a:lnRef>
                      <a:fillRef idx="0">
                        <a:srgbClr val="000000">
                          <a:alpha val="0"/>
                        </a:srgbClr>
                      </a:fillRef>
                      <a:effectRef idx="0">
                        <a:srgbClr val="000000">
                          <a:alpha val="0"/>
                        </a:srgbClr>
                      </a:effectRef>
                      <a:fontRef idx="none">
                        <a:srgbClr val="000000">
                          <a:alpha val="0"/>
                        </a:srgbClr>
                      </a:fontRef>
                    </wps:style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a="http://schemas.openxmlformats.org/drawingml/2006/main" xmlns:oel="http://schemas.microsoft.com/office/2019/extlst">
          <w:pict>
            <v:shape id="shape 4" o:spid="_x0000_s4" style="position:absolute;mso-wrap-distance-left:9.0pt;mso-wrap-distance-top:0.0pt;mso-wrap-distance-right:9.0pt;mso-wrap-distance-bottom:0.0pt;z-index:251657728;o:allowoverlap:true;o:allowincell:true;mso-position-horizontal-relative:text;margin-left:467.1pt;mso-position-horizontal:absolute;mso-position-vertical-relative:text;margin-top:-37.4pt;mso-position-vertical:absolute;width:98.6pt;height:91.6pt;" coordsize="100000,100000" path="m28817,0l24525,0l0,99938l100000,99938l100000,95020l99887,95500l5405,95500l28817,0xe" fillcolor="#0483F8" stroked="f">
              <v:path textboxrect="0,0,100000,99999"/>
            </v:shape>
          </w:pict>
        </mc:Fallback>
      </mc:AlternateContent>
    </w: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6704" behindDoc="0" locked="0" layoutInCell="1" allowOverlap="1" wp14:anchorId="18C88367" wp14:editId="5F65C20F">
              <wp:simplePos x="0" y="0"/>
              <wp:positionH relativeFrom="column">
                <wp:posOffset>5361305</wp:posOffset>
              </wp:positionH>
              <wp:positionV relativeFrom="paragraph">
                <wp:posOffset>-474980</wp:posOffset>
              </wp:positionV>
              <wp:extent cx="1490345" cy="755650"/>
              <wp:effectExtent l="0" t="0" r="0" b="6350"/>
              <wp:wrapNone/>
              <wp:docPr id="6" name="docshape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 bwMode="auto">
                      <a:xfrm>
                        <a:off x="0" y="0"/>
                        <a:ext cx="1490345" cy="755745"/>
                      </a:xfrm>
                      <a:custGeom>
                        <a:avLst/>
                        <a:gdLst>
                          <a:gd name="T0" fmla="+- 0 11377 9244"/>
                          <a:gd name="T1" fmla="*/ T0 w 2134"/>
                          <a:gd name="T2" fmla="*/ 0 h 1082"/>
                          <a:gd name="T3" fmla="+- 0 9529 9244"/>
                          <a:gd name="T4" fmla="*/ T3 w 2134"/>
                          <a:gd name="T5" fmla="*/ 0 h 1082"/>
                          <a:gd name="T6" fmla="+- 0 9244 9244"/>
                          <a:gd name="T7" fmla="*/ T6 w 2134"/>
                          <a:gd name="T8" fmla="*/ 1081 h 1082"/>
                          <a:gd name="T9" fmla="+- 0 11092 9244"/>
                          <a:gd name="T10" fmla="*/ T9 w 2134"/>
                          <a:gd name="T11" fmla="*/ 1081 h 1082"/>
                          <a:gd name="T12" fmla="+- 0 11377 9244"/>
                          <a:gd name="T13" fmla="*/ T12 w 2134"/>
                          <a:gd name="T14" fmla="*/ 0 h 1082"/>
                        </a:gdLst>
                        <a:ahLst/>
                        <a:cxnLst>
                          <a:cxn ang="0">
                            <a:pos x="T1" y="T2"/>
                          </a:cxn>
                          <a:cxn ang="0">
                            <a:pos x="T4" y="T5"/>
                          </a:cxn>
                          <a:cxn ang="0">
                            <a:pos x="T7" y="T8"/>
                          </a:cxn>
                          <a:cxn ang="0">
                            <a:pos x="T10" y="T11"/>
                          </a:cxn>
                          <a:cxn ang="0">
                            <a:pos x="T13" y="T14"/>
                          </a:cxn>
                        </a:cxnLst>
                        <a:rect l="0" t="0" r="r" b="b"/>
                        <a:pathLst>
                          <a:path w="2134" h="1082" extrusionOk="0">
                            <a:moveTo>
                              <a:pt x="2133" y="0"/>
                            </a:moveTo>
                            <a:lnTo>
                              <a:pt x="285" y="0"/>
                            </a:lnTo>
                            <a:lnTo>
                              <a:pt x="0" y="1081"/>
                            </a:lnTo>
                            <a:lnTo>
                              <a:pt x="1848" y="1081"/>
                            </a:lnTo>
                            <a:lnTo>
                              <a:pt x="2133" y="0"/>
                            </a:lnTo>
                            <a:close/>
                          </a:path>
                        </a:pathLst>
                      </a:custGeom>
                      <a:solidFill>
                        <a:srgbClr val="0483F8">
                          <a:alpha val="26998"/>
                        </a:srgbClr>
                      </a:solidFill>
                      <a:ln>
                        <a:noFill/>
                      </a:ln>
                    </wps:spPr>
                    <wps:style>
                      <a:lnRef idx="0">
                        <a:srgbClr val="000000">
                          <a:alpha val="0"/>
                        </a:srgbClr>
                      </a:lnRef>
                      <a:fillRef idx="0">
                        <a:srgbClr val="000000">
                          <a:alpha val="0"/>
                        </a:srgbClr>
                      </a:fillRef>
                      <a:effectRef idx="0">
                        <a:srgbClr val="000000">
                          <a:alpha val="0"/>
                        </a:srgbClr>
                      </a:effectRef>
                      <a:fontRef idx="none">
                        <a:srgbClr val="000000">
                          <a:alpha val="0"/>
                        </a:srgbClr>
                      </a:fontRef>
                    </wps:style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a="http://schemas.openxmlformats.org/drawingml/2006/main" xmlns:oel="http://schemas.microsoft.com/office/2019/extlst">
          <w:pict>
            <v:shape id="shape 5" o:spid="_x0000_s5" style="position:absolute;mso-wrap-distance-left:9.0pt;mso-wrap-distance-top:0.0pt;mso-wrap-distance-right:9.0pt;mso-wrap-distance-bottom:0.0pt;z-index:251656704;o:allowoverlap:true;o:allowincell:true;mso-position-horizontal-relative:text;margin-left:422.1pt;mso-position-horizontal:absolute;mso-position-vertical-relative:text;margin-top:-37.4pt;mso-position-vertical:absolute;width:117.3pt;height:59.5pt;" coordsize="100000,100000" path="m99951,0l13354,0l0,99907l86597,99907l99951,0xe" fillcolor="#0483F8" stroked="f">
              <v:path textboxrect="0,0,100000,99997"/>
              <v:fill opacity="-17376f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D4EB4"/>
    <w:multiLevelType w:val="hybridMultilevel"/>
    <w:tmpl w:val="14C2D07C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" w15:restartNumberingAfterBreak="0">
    <w:nsid w:val="03EC3021"/>
    <w:multiLevelType w:val="hybridMultilevel"/>
    <w:tmpl w:val="4C001C3A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" w15:restartNumberingAfterBreak="0">
    <w:nsid w:val="0A1F65F6"/>
    <w:multiLevelType w:val="hybridMultilevel"/>
    <w:tmpl w:val="D8943DA6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3" w15:restartNumberingAfterBreak="0">
    <w:nsid w:val="0D6331B9"/>
    <w:multiLevelType w:val="hybridMultilevel"/>
    <w:tmpl w:val="643E25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4A6FF5"/>
    <w:multiLevelType w:val="hybridMultilevel"/>
    <w:tmpl w:val="CAE2B308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5" w15:restartNumberingAfterBreak="0">
    <w:nsid w:val="147511DD"/>
    <w:multiLevelType w:val="hybridMultilevel"/>
    <w:tmpl w:val="D824977A"/>
    <w:lvl w:ilvl="0" w:tplc="F60CB60A">
      <w:start w:val="1"/>
      <w:numFmt w:val="bullet"/>
      <w:lvlText w:val=""/>
      <w:lvlJc w:val="left"/>
      <w:pPr>
        <w:ind w:left="760" w:hanging="360"/>
      </w:pPr>
      <w:rPr>
        <w:rFonts w:ascii="Wingdings" w:hAnsi="Wingdings" w:hint="default"/>
        <w:b w:val="0"/>
        <w:bCs w:val="0"/>
        <w:i w:val="0"/>
        <w:iCs w:val="0"/>
        <w:color w:val="575756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6" w15:restartNumberingAfterBreak="0">
    <w:nsid w:val="1AAF6079"/>
    <w:multiLevelType w:val="hybridMultilevel"/>
    <w:tmpl w:val="94447B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145683"/>
    <w:multiLevelType w:val="hybridMultilevel"/>
    <w:tmpl w:val="A36841D2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8" w15:restartNumberingAfterBreak="0">
    <w:nsid w:val="1C9D6E5E"/>
    <w:multiLevelType w:val="hybridMultilevel"/>
    <w:tmpl w:val="7C8688E2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9" w15:restartNumberingAfterBreak="0">
    <w:nsid w:val="24021293"/>
    <w:multiLevelType w:val="hybridMultilevel"/>
    <w:tmpl w:val="E72E97AE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0" w15:restartNumberingAfterBreak="0">
    <w:nsid w:val="25A60EEF"/>
    <w:multiLevelType w:val="hybridMultilevel"/>
    <w:tmpl w:val="479EEDD4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1" w15:restartNumberingAfterBreak="0">
    <w:nsid w:val="271464DE"/>
    <w:multiLevelType w:val="hybridMultilevel"/>
    <w:tmpl w:val="AB7ADC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B46E37"/>
    <w:multiLevelType w:val="hybridMultilevel"/>
    <w:tmpl w:val="F8EAAEA0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3" w15:restartNumberingAfterBreak="0">
    <w:nsid w:val="2C0C14B5"/>
    <w:multiLevelType w:val="hybridMultilevel"/>
    <w:tmpl w:val="1942467A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4" w15:restartNumberingAfterBreak="0">
    <w:nsid w:val="30626AF7"/>
    <w:multiLevelType w:val="hybridMultilevel"/>
    <w:tmpl w:val="B3BCE106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5" w15:restartNumberingAfterBreak="0">
    <w:nsid w:val="30817EB8"/>
    <w:multiLevelType w:val="hybridMultilevel"/>
    <w:tmpl w:val="54AA5780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1FA0ECE"/>
    <w:multiLevelType w:val="hybridMultilevel"/>
    <w:tmpl w:val="E92CD8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2F75D16"/>
    <w:multiLevelType w:val="hybridMultilevel"/>
    <w:tmpl w:val="0D4ECB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33A055F"/>
    <w:multiLevelType w:val="hybridMultilevel"/>
    <w:tmpl w:val="54CC8B9C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9" w15:restartNumberingAfterBreak="0">
    <w:nsid w:val="3AE23795"/>
    <w:multiLevelType w:val="hybridMultilevel"/>
    <w:tmpl w:val="0FA0D7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5B356E"/>
    <w:multiLevelType w:val="hybridMultilevel"/>
    <w:tmpl w:val="F9364516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1" w15:restartNumberingAfterBreak="0">
    <w:nsid w:val="5CDE0C81"/>
    <w:multiLevelType w:val="hybridMultilevel"/>
    <w:tmpl w:val="AE6E4F0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72E2E7A"/>
    <w:multiLevelType w:val="hybridMultilevel"/>
    <w:tmpl w:val="639838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880523D"/>
    <w:multiLevelType w:val="hybridMultilevel"/>
    <w:tmpl w:val="94F873D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69F24754"/>
    <w:multiLevelType w:val="hybridMultilevel"/>
    <w:tmpl w:val="4A0E6AF8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5" w15:restartNumberingAfterBreak="0">
    <w:nsid w:val="6D7E5C0A"/>
    <w:multiLevelType w:val="hybridMultilevel"/>
    <w:tmpl w:val="8C1EEC40"/>
    <w:lvl w:ilvl="0" w:tplc="F60CB60A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b w:val="0"/>
        <w:bCs w:val="0"/>
        <w:i w:val="0"/>
        <w:iCs w:val="0"/>
        <w:color w:val="575756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EC14199"/>
    <w:multiLevelType w:val="hybridMultilevel"/>
    <w:tmpl w:val="8C400E28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7" w15:restartNumberingAfterBreak="0">
    <w:nsid w:val="6F4331AC"/>
    <w:multiLevelType w:val="hybridMultilevel"/>
    <w:tmpl w:val="17D0EDFC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8" w15:restartNumberingAfterBreak="0">
    <w:nsid w:val="6F706F02"/>
    <w:multiLevelType w:val="hybridMultilevel"/>
    <w:tmpl w:val="F626A664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9" w15:restartNumberingAfterBreak="0">
    <w:nsid w:val="708B44CA"/>
    <w:multiLevelType w:val="hybridMultilevel"/>
    <w:tmpl w:val="C16E3BE8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5EF16E6"/>
    <w:multiLevelType w:val="hybridMultilevel"/>
    <w:tmpl w:val="6FCEBB5C"/>
    <w:lvl w:ilvl="0" w:tplc="F60CB60A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  <w:b w:val="0"/>
        <w:bCs w:val="0"/>
        <w:i w:val="0"/>
        <w:iCs w:val="0"/>
        <w:color w:val="575756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31" w15:restartNumberingAfterBreak="0">
    <w:nsid w:val="78802A31"/>
    <w:multiLevelType w:val="hybridMultilevel"/>
    <w:tmpl w:val="9512754C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99D408D"/>
    <w:multiLevelType w:val="hybridMultilevel"/>
    <w:tmpl w:val="4A202D9A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33" w15:restartNumberingAfterBreak="0">
    <w:nsid w:val="7DED35E3"/>
    <w:multiLevelType w:val="hybridMultilevel"/>
    <w:tmpl w:val="1A58F8A8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25"/>
  </w:num>
  <w:num w:numId="3">
    <w:abstractNumId w:val="30"/>
  </w:num>
  <w:num w:numId="4">
    <w:abstractNumId w:val="5"/>
  </w:num>
  <w:num w:numId="5">
    <w:abstractNumId w:val="9"/>
  </w:num>
  <w:num w:numId="6">
    <w:abstractNumId w:val="27"/>
  </w:num>
  <w:num w:numId="7">
    <w:abstractNumId w:val="4"/>
  </w:num>
  <w:num w:numId="8">
    <w:abstractNumId w:val="7"/>
  </w:num>
  <w:num w:numId="9">
    <w:abstractNumId w:val="24"/>
  </w:num>
  <w:num w:numId="10">
    <w:abstractNumId w:val="26"/>
  </w:num>
  <w:num w:numId="11">
    <w:abstractNumId w:val="1"/>
  </w:num>
  <w:num w:numId="12">
    <w:abstractNumId w:val="18"/>
  </w:num>
  <w:num w:numId="13">
    <w:abstractNumId w:val="32"/>
  </w:num>
  <w:num w:numId="14">
    <w:abstractNumId w:val="10"/>
  </w:num>
  <w:num w:numId="15">
    <w:abstractNumId w:val="8"/>
  </w:num>
  <w:num w:numId="16">
    <w:abstractNumId w:val="19"/>
  </w:num>
  <w:num w:numId="17">
    <w:abstractNumId w:val="29"/>
  </w:num>
  <w:num w:numId="18">
    <w:abstractNumId w:val="33"/>
  </w:num>
  <w:num w:numId="19">
    <w:abstractNumId w:val="15"/>
  </w:num>
  <w:num w:numId="20">
    <w:abstractNumId w:val="31"/>
  </w:num>
  <w:num w:numId="21">
    <w:abstractNumId w:val="23"/>
  </w:num>
  <w:num w:numId="22">
    <w:abstractNumId w:val="3"/>
  </w:num>
  <w:num w:numId="23">
    <w:abstractNumId w:val="0"/>
  </w:num>
  <w:num w:numId="24">
    <w:abstractNumId w:val="17"/>
  </w:num>
  <w:num w:numId="25">
    <w:abstractNumId w:val="12"/>
  </w:num>
  <w:num w:numId="26">
    <w:abstractNumId w:val="16"/>
  </w:num>
  <w:num w:numId="27">
    <w:abstractNumId w:val="21"/>
  </w:num>
  <w:num w:numId="28">
    <w:abstractNumId w:val="2"/>
  </w:num>
  <w:num w:numId="29">
    <w:abstractNumId w:val="22"/>
  </w:num>
  <w:num w:numId="30">
    <w:abstractNumId w:val="28"/>
  </w:num>
  <w:num w:numId="31">
    <w:abstractNumId w:val="14"/>
  </w:num>
  <w:num w:numId="32">
    <w:abstractNumId w:val="20"/>
  </w:num>
  <w:num w:numId="33">
    <w:abstractNumId w:val="6"/>
  </w:num>
  <w:num w:numId="34">
    <w:abstractNumId w:val="13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6E33"/>
    <w:rsid w:val="0001699B"/>
    <w:rsid w:val="00046E43"/>
    <w:rsid w:val="0005142A"/>
    <w:rsid w:val="00062902"/>
    <w:rsid w:val="00090971"/>
    <w:rsid w:val="000A2EB9"/>
    <w:rsid w:val="000B57A0"/>
    <w:rsid w:val="00101146"/>
    <w:rsid w:val="001420BA"/>
    <w:rsid w:val="00175530"/>
    <w:rsid w:val="001F4F97"/>
    <w:rsid w:val="00212C4A"/>
    <w:rsid w:val="00222C66"/>
    <w:rsid w:val="00277781"/>
    <w:rsid w:val="0028470F"/>
    <w:rsid w:val="00290414"/>
    <w:rsid w:val="002B3F03"/>
    <w:rsid w:val="002C66A9"/>
    <w:rsid w:val="002E0367"/>
    <w:rsid w:val="00306CB1"/>
    <w:rsid w:val="00312E95"/>
    <w:rsid w:val="00346FBA"/>
    <w:rsid w:val="00355207"/>
    <w:rsid w:val="00406EF5"/>
    <w:rsid w:val="00420D9C"/>
    <w:rsid w:val="004412D3"/>
    <w:rsid w:val="0047463E"/>
    <w:rsid w:val="004809D5"/>
    <w:rsid w:val="004A4754"/>
    <w:rsid w:val="004C4274"/>
    <w:rsid w:val="00522798"/>
    <w:rsid w:val="00526E33"/>
    <w:rsid w:val="005A2225"/>
    <w:rsid w:val="005E1BBE"/>
    <w:rsid w:val="005F5E00"/>
    <w:rsid w:val="00643E6C"/>
    <w:rsid w:val="0073613C"/>
    <w:rsid w:val="0076111F"/>
    <w:rsid w:val="007B6EA1"/>
    <w:rsid w:val="007F4752"/>
    <w:rsid w:val="00815D5D"/>
    <w:rsid w:val="008172BE"/>
    <w:rsid w:val="008473DC"/>
    <w:rsid w:val="008834E7"/>
    <w:rsid w:val="00883C0E"/>
    <w:rsid w:val="008B4772"/>
    <w:rsid w:val="008E36E2"/>
    <w:rsid w:val="009925E9"/>
    <w:rsid w:val="009E49E9"/>
    <w:rsid w:val="009E7F85"/>
    <w:rsid w:val="00A05414"/>
    <w:rsid w:val="00A72FFD"/>
    <w:rsid w:val="00A75233"/>
    <w:rsid w:val="00A8372E"/>
    <w:rsid w:val="00AE3B83"/>
    <w:rsid w:val="00B35C47"/>
    <w:rsid w:val="00B83CE8"/>
    <w:rsid w:val="00BB73DC"/>
    <w:rsid w:val="00BF7B58"/>
    <w:rsid w:val="00C169C2"/>
    <w:rsid w:val="00C23547"/>
    <w:rsid w:val="00C561E9"/>
    <w:rsid w:val="00CB7FA3"/>
    <w:rsid w:val="00CD736F"/>
    <w:rsid w:val="00D2365A"/>
    <w:rsid w:val="00DD19D0"/>
    <w:rsid w:val="00EE1B48"/>
    <w:rsid w:val="00F13AA7"/>
    <w:rsid w:val="00F65AE6"/>
    <w:rsid w:val="00FC4D02"/>
    <w:rsid w:val="00FD3135"/>
    <w:rsid w:val="00FE56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C7A8C1"/>
  <w15:docId w15:val="{CE38C0EC-4EEE-4778-A96B-C4A05C712A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2365A"/>
    <w:pPr>
      <w:widowControl w:val="0"/>
      <w:spacing w:after="0" w:line="240" w:lineRule="auto"/>
    </w:pPr>
    <w:rPr>
      <w:rFonts w:ascii="Open Sans" w:eastAsia="Open Sans" w:hAnsi="Open Sans" w:cs="Open San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No Spacing"/>
    <w:uiPriority w:val="1"/>
    <w:qFormat/>
    <w:pPr>
      <w:spacing w:after="0" w:line="240" w:lineRule="auto"/>
    </w:pPr>
  </w:style>
  <w:style w:type="paragraph" w:styleId="a4">
    <w:name w:val="Title"/>
    <w:basedOn w:val="a"/>
    <w:next w:val="a"/>
    <w:link w:val="a5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5">
    <w:name w:val="Заголовок Знак"/>
    <w:basedOn w:val="a0"/>
    <w:link w:val="a4"/>
    <w:uiPriority w:val="10"/>
    <w:rPr>
      <w:sz w:val="48"/>
      <w:szCs w:val="48"/>
    </w:rPr>
  </w:style>
  <w:style w:type="paragraph" w:styleId="a6">
    <w:name w:val="Subtitle"/>
    <w:basedOn w:val="a"/>
    <w:next w:val="a"/>
    <w:link w:val="a7"/>
    <w:uiPriority w:val="11"/>
    <w:qFormat/>
    <w:pPr>
      <w:spacing w:before="200" w:after="200"/>
    </w:pPr>
    <w:rPr>
      <w:sz w:val="24"/>
      <w:szCs w:val="24"/>
    </w:rPr>
  </w:style>
  <w:style w:type="character" w:customStyle="1" w:styleId="a7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a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472C4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b">
    <w:name w:val="TOC Heading"/>
    <w:uiPriority w:val="39"/>
    <w:unhideWhenUsed/>
  </w:style>
  <w:style w:type="paragraph" w:styleId="ac">
    <w:name w:val="table of figures"/>
    <w:basedOn w:val="a"/>
    <w:next w:val="a"/>
    <w:uiPriority w:val="99"/>
    <w:unhideWhenUsed/>
  </w:style>
  <w:style w:type="paragraph" w:styleId="ad">
    <w:name w:val="Body Text"/>
    <w:basedOn w:val="a"/>
    <w:link w:val="ae"/>
    <w:qFormat/>
    <w:pPr>
      <w:spacing w:before="53"/>
      <w:ind w:left="20"/>
    </w:pPr>
    <w:rPr>
      <w:sz w:val="20"/>
      <w:szCs w:val="20"/>
    </w:rPr>
  </w:style>
  <w:style w:type="paragraph" w:styleId="af">
    <w:name w:val="List Paragraph"/>
    <w:basedOn w:val="a"/>
    <w:qFormat/>
    <w:pPr>
      <w:ind w:left="720"/>
      <w:contextualSpacing/>
    </w:pPr>
  </w:style>
  <w:style w:type="paragraph" w:styleId="af0">
    <w:name w:val="header"/>
    <w:basedOn w:val="a"/>
    <w:link w:val="af1"/>
    <w:pPr>
      <w:tabs>
        <w:tab w:val="center" w:pos="4677"/>
        <w:tab w:val="right" w:pos="9355"/>
      </w:tabs>
    </w:pPr>
  </w:style>
  <w:style w:type="paragraph" w:styleId="af2">
    <w:name w:val="footer"/>
    <w:basedOn w:val="a"/>
    <w:link w:val="af3"/>
    <w:pPr>
      <w:tabs>
        <w:tab w:val="center" w:pos="4677"/>
        <w:tab w:val="right" w:pos="9355"/>
      </w:tabs>
    </w:pPr>
  </w:style>
  <w:style w:type="paragraph" w:styleId="af4">
    <w:name w:val="annotation text"/>
    <w:basedOn w:val="a"/>
    <w:link w:val="af5"/>
    <w:semiHidden/>
    <w:rPr>
      <w:sz w:val="20"/>
      <w:szCs w:val="20"/>
    </w:rPr>
  </w:style>
  <w:style w:type="paragraph" w:styleId="af6">
    <w:name w:val="annotation subject"/>
    <w:basedOn w:val="af4"/>
    <w:next w:val="af4"/>
    <w:link w:val="af7"/>
    <w:semiHidden/>
    <w:rPr>
      <w:b/>
      <w:bCs/>
    </w:rPr>
  </w:style>
  <w:style w:type="paragraph" w:styleId="af8">
    <w:name w:val="Revision"/>
    <w:hidden/>
    <w:semiHidden/>
    <w:pPr>
      <w:spacing w:after="0" w:line="240" w:lineRule="auto"/>
    </w:pPr>
    <w:rPr>
      <w:rFonts w:ascii="Open Sans" w:eastAsia="Open Sans" w:hAnsi="Open Sans" w:cs="Open Sans"/>
    </w:rPr>
  </w:style>
  <w:style w:type="paragraph" w:styleId="af9">
    <w:name w:val="footnote text"/>
    <w:link w:val="afa"/>
    <w:semiHidden/>
    <w:pPr>
      <w:spacing w:after="0" w:line="240" w:lineRule="auto"/>
    </w:pPr>
    <w:rPr>
      <w:sz w:val="20"/>
      <w:szCs w:val="20"/>
    </w:rPr>
  </w:style>
  <w:style w:type="paragraph" w:styleId="afb">
    <w:name w:val="endnote text"/>
    <w:link w:val="afc"/>
    <w:semiHidden/>
    <w:pPr>
      <w:spacing w:after="0" w:line="240" w:lineRule="auto"/>
    </w:pPr>
    <w:rPr>
      <w:sz w:val="20"/>
      <w:szCs w:val="20"/>
    </w:rPr>
  </w:style>
  <w:style w:type="character" w:styleId="afd">
    <w:name w:val="line number"/>
    <w:basedOn w:val="a0"/>
    <w:semiHidden/>
  </w:style>
  <w:style w:type="character" w:styleId="afe">
    <w:name w:val="Hyperlink"/>
    <w:rPr>
      <w:color w:val="0000FF"/>
      <w:u w:val="single"/>
    </w:rPr>
  </w:style>
  <w:style w:type="character" w:customStyle="1" w:styleId="ae">
    <w:name w:val="Основной текст Знак"/>
    <w:basedOn w:val="a0"/>
    <w:link w:val="ad"/>
    <w:rPr>
      <w:sz w:val="20"/>
      <w:szCs w:val="20"/>
    </w:rPr>
  </w:style>
  <w:style w:type="character" w:customStyle="1" w:styleId="af1">
    <w:name w:val="Верхний колонтитул Знак"/>
    <w:basedOn w:val="a0"/>
    <w:link w:val="af0"/>
  </w:style>
  <w:style w:type="character" w:customStyle="1" w:styleId="af3">
    <w:name w:val="Нижний колонтитул Знак"/>
    <w:basedOn w:val="a0"/>
    <w:link w:val="af2"/>
  </w:style>
  <w:style w:type="character" w:styleId="aff">
    <w:name w:val="annotation reference"/>
    <w:basedOn w:val="a0"/>
    <w:semiHidden/>
    <w:rPr>
      <w:sz w:val="16"/>
      <w:szCs w:val="16"/>
    </w:rPr>
  </w:style>
  <w:style w:type="character" w:customStyle="1" w:styleId="af5">
    <w:name w:val="Текст примечания Знак"/>
    <w:basedOn w:val="a0"/>
    <w:link w:val="af4"/>
    <w:semiHidden/>
    <w:rPr>
      <w:sz w:val="20"/>
      <w:szCs w:val="20"/>
    </w:rPr>
  </w:style>
  <w:style w:type="character" w:customStyle="1" w:styleId="af7">
    <w:name w:val="Тема примечания Знак"/>
    <w:basedOn w:val="af5"/>
    <w:link w:val="af6"/>
    <w:semiHidden/>
    <w:rPr>
      <w:b/>
      <w:bCs/>
      <w:sz w:val="20"/>
      <w:szCs w:val="20"/>
    </w:rPr>
  </w:style>
  <w:style w:type="character" w:styleId="aff0">
    <w:name w:val="footnote reference"/>
    <w:semiHidden/>
    <w:rPr>
      <w:vertAlign w:val="superscript"/>
    </w:rPr>
  </w:style>
  <w:style w:type="character" w:customStyle="1" w:styleId="afa">
    <w:name w:val="Текст сноски Знак"/>
    <w:link w:val="af9"/>
    <w:semiHidden/>
    <w:rPr>
      <w:sz w:val="20"/>
      <w:szCs w:val="20"/>
    </w:rPr>
  </w:style>
  <w:style w:type="character" w:styleId="aff1">
    <w:name w:val="endnote reference"/>
    <w:semiHidden/>
    <w:rPr>
      <w:vertAlign w:val="superscript"/>
    </w:rPr>
  </w:style>
  <w:style w:type="character" w:customStyle="1" w:styleId="afc">
    <w:name w:val="Текст концевой сноски Знак"/>
    <w:link w:val="afb"/>
    <w:semiHidden/>
    <w:rPr>
      <w:sz w:val="20"/>
      <w:szCs w:val="20"/>
    </w:rPr>
  </w:style>
  <w:style w:type="table" w:styleId="13">
    <w:name w:val="Table Simple 1"/>
    <w:basedOn w:val="a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ff2">
    <w:name w:val="Table Grid"/>
    <w:basedOn w:val="a1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ff3">
    <w:name w:val="Grid Table Light"/>
    <w:basedOn w:val="a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42">
    <w:name w:val="Plain Table 4"/>
    <w:basedOn w:val="a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-10">
    <w:name w:val="Grid Table 1 Light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85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15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87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1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0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mpd="sng" algn="ctr">
          <a:solidFill>
            <a:schemeClr val="phClr"/>
          </a:solidFill>
          <a:prstDash val="solid"/>
          <a:miter lim="800000"/>
        </a:ln>
        <a:ln w="12700" cmpd="sng" algn="ctr">
          <a:solidFill>
            <a:schemeClr val="phClr"/>
          </a:solidFill>
          <a:prstDash val="solid"/>
          <a:miter lim="800000"/>
        </a:ln>
        <a:ln w="19050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
</file>

<file path=customXml/itemProps1.xml><?xml version="1.0" encoding="utf-8"?>
<ds:datastoreItem xmlns:ds="http://schemas.openxmlformats.org/officeDocument/2006/customXml" ds:itemID="{53B95620-C06E-48DB-B318-02991DCCE52B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59</Words>
  <Characters>340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Исмагилова Эльвира</dc:creator>
  <cp:lastModifiedBy>a.vladimirov</cp:lastModifiedBy>
  <cp:revision>2</cp:revision>
  <dcterms:created xsi:type="dcterms:W3CDTF">2025-06-23T08:52:00Z</dcterms:created>
  <dcterms:modified xsi:type="dcterms:W3CDTF">2025-06-23T08:52:00Z</dcterms:modified>
</cp:coreProperties>
</file>