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13th April - internal meeting </w:t>
      </w:r>
    </w:p>
    <w:p w:rsidR="00000000" w:rsidDel="00000000" w:rsidP="00000000" w:rsidRDefault="00000000" w:rsidRPr="00000000">
      <w:pPr>
        <w:pBdr/>
        <w:contextualSpacing w:val="0"/>
        <w:rPr/>
      </w:pPr>
      <w:r w:rsidDel="00000000" w:rsidR="00000000" w:rsidRPr="00000000">
        <w:rPr>
          <w:rtl w:val="0"/>
        </w:rPr>
        <w:t xml:space="preserve">Women in education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Women in sports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Women in business (self employment and otherwise)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Different fields/industries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Is there any country still behind in terms of economy because of the education of its women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Organizations promoting women education and their impacts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Effects of the Pay - gap in different countries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19th April -</w:t>
      </w:r>
    </w:p>
    <w:p w:rsidR="00000000" w:rsidDel="00000000" w:rsidP="00000000" w:rsidRDefault="00000000" w:rsidRPr="00000000">
      <w:pPr>
        <w:pBdr/>
        <w:contextualSpacing w:val="0"/>
        <w:rPr/>
      </w:pPr>
      <w:r w:rsidDel="00000000" w:rsidR="00000000" w:rsidRPr="00000000">
        <w:rPr>
          <w:rtl w:val="0"/>
        </w:rPr>
        <w:t xml:space="preserve">Met with Professor. See research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17th May - team lab session</w:t>
      </w:r>
    </w:p>
    <w:p w:rsidR="00000000" w:rsidDel="00000000" w:rsidP="00000000" w:rsidRDefault="00000000" w:rsidRPr="00000000">
      <w:pPr>
        <w:pBdr/>
        <w:contextualSpacing w:val="0"/>
        <w:rPr>
          <w:b w:val="1"/>
        </w:rPr>
      </w:pPr>
      <w:r w:rsidDel="00000000" w:rsidR="00000000" w:rsidRPr="00000000">
        <w:rPr>
          <w:b w:val="1"/>
          <w:rtl w:val="0"/>
        </w:rPr>
        <w:t xml:space="preserve">Is women empowerment a reality or myth is our main working hypothesis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Healthcare for women - use metrics from </w:t>
      </w:r>
      <w:hyperlink r:id="rId5">
        <w:r w:rsidDel="00000000" w:rsidR="00000000" w:rsidRPr="00000000">
          <w:rPr>
            <w:color w:val="1155cc"/>
            <w:u w:val="single"/>
            <w:rtl w:val="0"/>
          </w:rPr>
          <w:t xml:space="preserve">this dataset</w:t>
        </w:r>
      </w:hyperlink>
      <w:r w:rsidDel="00000000" w:rsidR="00000000" w:rsidRPr="00000000">
        <w:rPr>
          <w:rtl w:val="0"/>
        </w:rPr>
        <w:t xml:space="preserve"> from the below website </w:t>
      </w:r>
      <w:hyperlink r:id="rId6">
        <w:r w:rsidDel="00000000" w:rsidR="00000000" w:rsidRPr="00000000">
          <w:rPr>
            <w:color w:val="1155cc"/>
            <w:u w:val="single"/>
            <w:rtl w:val="0"/>
          </w:rPr>
          <w:t xml:space="preserve">http://data.worldbank.org/topic/gender</w:t>
        </w:r>
      </w:hyperlink>
      <w:r w:rsidDel="00000000" w:rsidR="00000000" w:rsidRPr="00000000">
        <w:rPr>
          <w:color w:val="50595e"/>
          <w:sz w:val="20"/>
          <w:szCs w:val="20"/>
          <w:shd w:fill="f2f3f6" w:val="clear"/>
          <w:rtl w:val="0"/>
        </w:rPr>
        <w:t xml:space="preserve"> </w:t>
      </w:r>
      <w:r w:rsidDel="00000000" w:rsidR="00000000" w:rsidRPr="00000000">
        <w:rPr>
          <w:rtl w:val="0"/>
        </w:rPr>
        <w:t xml:space="preserve">-- The database hosts the latest sex-disaggregated data and gender statistics covering demography, education, health, access to economic opportunities, public life and decision-making, and agency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Do they get equal pay job - if not why don’t they get equal pay jobs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Engineering, Nursing, Science etc - year over year number of women employed in these areas in lower level vs higher level jobs - </w:t>
      </w:r>
      <w:hyperlink r:id="rId7">
        <w:r w:rsidDel="00000000" w:rsidR="00000000" w:rsidRPr="00000000">
          <w:rPr>
            <w:color w:val="1155cc"/>
            <w:u w:val="single"/>
            <w:rtl w:val="0"/>
          </w:rPr>
          <w:t xml:space="preserve">https://factfinder.census.gov/faces/nav/jsf/pages/searchresults.xhtml?refresh=t#none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hyperlink r:id="rId8">
        <w:r w:rsidDel="00000000" w:rsidR="00000000" w:rsidRPr="00000000">
          <w:rPr>
            <w:rFonts w:ascii="Calibri" w:cs="Calibri" w:eastAsia="Calibri" w:hAnsi="Calibri"/>
            <w:b w:val="1"/>
            <w:color w:val="1155cc"/>
            <w:sz w:val="24"/>
            <w:szCs w:val="24"/>
            <w:u w:val="single"/>
            <w:rtl w:val="0"/>
          </w:rPr>
          <w:t xml:space="preserve">http://www.pewresearch.org/fact-tank/2017/04/03/gender-pay-gap-facts/</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hyperlink r:id="rId9">
        <w:r w:rsidDel="00000000" w:rsidR="00000000" w:rsidRPr="00000000">
          <w:rPr>
            <w:rFonts w:ascii="Calibri" w:cs="Calibri" w:eastAsia="Calibri" w:hAnsi="Calibri"/>
            <w:b w:val="1"/>
            <w:color w:val="1155cc"/>
            <w:sz w:val="24"/>
            <w:szCs w:val="24"/>
            <w:highlight w:val="white"/>
            <w:u w:val="single"/>
            <w:rtl w:val="0"/>
          </w:rPr>
          <w:t xml:space="preserve">https://www.insidehighered.com/news/2017/02/15/gender-pay-gap-persists-higher-education-administrators</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Survival rate to the last grade of primary education - data.worldbank.org</w:t>
      </w:r>
    </w:p>
    <w:p w:rsidR="00000000" w:rsidDel="00000000" w:rsidP="00000000" w:rsidRDefault="00000000" w:rsidRPr="00000000">
      <w:pPr>
        <w:pBdr/>
        <w:contextualSpacing w:val="0"/>
        <w:rPr>
          <w:color w:val="50595e"/>
          <w:sz w:val="20"/>
          <w:szCs w:val="20"/>
          <w:shd w:fill="f2f3f6" w:val="clear"/>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rPr>
      </w:pPr>
      <w:r w:rsidDel="00000000" w:rsidR="00000000" w:rsidRPr="00000000">
        <w:rPr>
          <w:b w:val="1"/>
          <w:rtl w:val="0"/>
        </w:rPr>
        <w:t xml:space="preserve">Does economic growth have anything to do with women empowerment. - professor suggested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hyperlink r:id="rId10">
        <w:r w:rsidDel="00000000" w:rsidR="00000000" w:rsidRPr="00000000">
          <w:rPr>
            <w:color w:val="1155cc"/>
            <w:u w:val="single"/>
            <w:rtl w:val="0"/>
          </w:rPr>
          <w:t xml:space="preserve">https://www.bls.gov/cps/earnings.htm#minwage</w:t>
        </w:r>
      </w:hyperlink>
      <w:r w:rsidDel="00000000" w:rsidR="00000000" w:rsidRPr="00000000">
        <w:rPr>
          <w:rtl w:val="0"/>
        </w:rPr>
        <w:t xml:space="preserve"> - employment and unemployment - USA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b w:val="1"/>
          <w:rtl w:val="0"/>
        </w:rPr>
        <w:t xml:space="preserve">Professor comments </w:t>
      </w:r>
      <w:r w:rsidDel="00000000" w:rsidR="00000000" w:rsidRPr="00000000">
        <w:rPr>
          <w:rtl w:val="0"/>
        </w:rPr>
        <w:t xml:space="preserve">-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Pick a couple of interesting topics in a way that define empowerment for us like </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Payment</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Healthcare</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Career options and form of requirements of those options</w:t>
      </w:r>
    </w:p>
    <w:p w:rsidR="00000000" w:rsidDel="00000000" w:rsidP="00000000" w:rsidRDefault="00000000" w:rsidRPr="00000000">
      <w:pPr>
        <w:numPr>
          <w:ilvl w:val="2"/>
          <w:numId w:val="3"/>
        </w:numPr>
        <w:pBdr/>
        <w:ind w:left="2160" w:hanging="360"/>
        <w:contextualSpacing w:val="1"/>
        <w:rPr>
          <w:u w:val="none"/>
        </w:rPr>
      </w:pPr>
      <w:r w:rsidDel="00000000" w:rsidR="00000000" w:rsidRPr="00000000">
        <w:rPr>
          <w:rtl w:val="0"/>
        </w:rPr>
        <w:t xml:space="preserve">Check vox video on on male vs female scientists and lawyers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Its contested in every angle so we have be careful on articles and datasets we pick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If we were to pick a side then we would be able to sharpen our focus and help us to find data to support our claim. If we find contradicting data then we should revise our claim</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Try to use data to explain the various positions/opinions in many </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b w:val="1"/>
          <w:rtl w:val="0"/>
        </w:rPr>
        <w:t xml:space="preserve">Check out the bureau of labour statistics</w:t>
      </w:r>
      <w:r w:rsidDel="00000000" w:rsidR="00000000" w:rsidRPr="00000000">
        <w:rPr>
          <w:rtl w:val="0"/>
        </w:rPr>
        <w:t xml:space="preserve"> - </w:t>
      </w:r>
      <w:hyperlink r:id="rId11">
        <w:r w:rsidDel="00000000" w:rsidR="00000000" w:rsidRPr="00000000">
          <w:rPr>
            <w:color w:val="1155cc"/>
            <w:u w:val="single"/>
            <w:rtl w:val="0"/>
          </w:rPr>
          <w:t xml:space="preserve">https://www.bls.gov/cps/earnings.htm#minwage</w:t>
        </w:r>
      </w:hyperlink>
      <w:r w:rsidDel="00000000" w:rsidR="00000000" w:rsidRPr="00000000">
        <w:rPr>
          <w:rtl w:val="0"/>
        </w:rPr>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If we plot this on a </w:t>
      </w:r>
      <w:r w:rsidDel="00000000" w:rsidR="00000000" w:rsidRPr="00000000">
        <w:rPr>
          <w:b w:val="1"/>
          <w:rtl w:val="0"/>
        </w:rPr>
        <w:t xml:space="preserve">lifetime scale</w:t>
      </w:r>
      <w:r w:rsidDel="00000000" w:rsidR="00000000" w:rsidRPr="00000000">
        <w:rPr>
          <w:rtl w:val="0"/>
        </w:rPr>
        <w:t xml:space="preserve"> - men vs women will have different trends in career paths (women as they grow older their career path grows downwards as opposed to men whose career path grows upward)</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Compare different countries to back up or prove your claims and that the pay gap is because of development factors and not a natural phenomenon because of other factors</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Keep your claim as your </w:t>
      </w:r>
      <w:r w:rsidDel="00000000" w:rsidR="00000000" w:rsidRPr="00000000">
        <w:rPr>
          <w:b w:val="1"/>
          <w:rtl w:val="0"/>
        </w:rPr>
        <w:t xml:space="preserve">working hypothesis </w:t>
      </w:r>
      <w:r w:rsidDel="00000000" w:rsidR="00000000" w:rsidRPr="00000000">
        <w:rPr>
          <w:rtl w:val="0"/>
        </w:rPr>
        <w:t xml:space="preserve">and adapt as your do your research and data manipulation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Meeting on June 5th 2017</w:t>
      </w:r>
    </w:p>
    <w:p w:rsidR="00000000" w:rsidDel="00000000" w:rsidP="00000000" w:rsidRDefault="00000000" w:rsidRPr="00000000">
      <w:pPr>
        <w:pBdr/>
        <w:contextualSpacing w:val="0"/>
        <w:rPr/>
      </w:pPr>
      <w:r w:rsidDel="00000000" w:rsidR="00000000" w:rsidRPr="00000000">
        <w:rPr>
          <w:rtl w:val="0"/>
        </w:rPr>
        <w:t xml:space="preserve">Profesor comments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Likes story doesn’t like conclusion - he doesn’t want us to take sides. Don’t try to prove or disprove anything . just describe. Just give a visual confirmation whether this story holds good or not.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He is asking to look at why women take the jobs they take and what are the characteristics of those jobs that have an effect on indirect gender discrimination leading to the pay gap.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He wants us to be critical of ourselves and include rebuttals for own data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Explain why you picked the four states - give some reasons.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Don’t imply things that you don’t know.</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He thinks our analysis is fine. Just be careful of our implications or assumptions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Potential action - get women to take more paying jobs - this would be our sort of conclusion of analysis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Analyze the USA only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Can use tableau to get pdf data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And one final workbook in addition to raw workbooks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June 7th Review (Team presentations class)</w:t>
      </w:r>
    </w:p>
    <w:p w:rsidR="00000000" w:rsidDel="00000000" w:rsidP="00000000" w:rsidRDefault="00000000" w:rsidRPr="00000000">
      <w:pPr>
        <w:pBdr/>
        <w:contextualSpacing w:val="0"/>
        <w:rPr/>
      </w:pPr>
      <w:r w:rsidDel="00000000" w:rsidR="00000000" w:rsidRPr="00000000">
        <w:rPr>
          <w:rtl w:val="0"/>
        </w:rPr>
        <w:t xml:space="preserve">Professor General feedback (for whole class)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Have an abstract</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include information about where you got the data from</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How many datasets you used</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Try to simplify the charts or accompany the charts with directions on how to read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Be mindful of the impression you are trying to make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It is perfectly fine to adjust the claims as we go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Go through your charts and see if they’re in the correct order and in the direction of giving a final punchline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Have a roadmap for your project (version 1, version 1.1 etc.,)</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Sometime it helps to focus your claim to focus the research/project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Professor feedback for us -</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He liked our story and said that if we are stating what we presented during this class then we are good.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Monday June 12</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Individual charts in document</w:t>
      </w:r>
    </w:p>
    <w:p w:rsidR="00000000" w:rsidDel="00000000" w:rsidP="00000000" w:rsidRDefault="00000000" w:rsidRPr="00000000">
      <w:pPr>
        <w:numPr>
          <w:ilvl w:val="1"/>
          <w:numId w:val="5"/>
        </w:numPr>
        <w:pBdr/>
        <w:ind w:left="1440" w:hanging="360"/>
        <w:contextualSpacing w:val="1"/>
        <w:rPr/>
      </w:pPr>
      <w:r w:rsidDel="00000000" w:rsidR="00000000" w:rsidRPr="00000000">
        <w:rPr>
          <w:rtl w:val="0"/>
        </w:rPr>
        <w:t xml:space="preserve">Chart explanation</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Overview of occupation Men Vs.women(Mishita)</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Average hourly wage in these occupation(Ayesha)</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Where they getting paid equally: Sports(Purnima)</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Where they are not getting paid equally: Entertainment(Purnima)</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Right and wrong choices of jobs (Sherry)</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Include a link/website name of the dataset source for each of the individual charts in the documentation </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Compile all the workbooks into one final workbook - Yuan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Final documentation compilation Purnima</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Github repository- Purnima</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Video - Ayesha</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Project Diary - Mishita</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Upload individual RAW workbooks to Google Drive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Upload Individual RAW datasets and any other RAW files to Google Drive</w:t>
      </w:r>
    </w:p>
    <w:p w:rsidR="00000000" w:rsidDel="00000000" w:rsidP="00000000" w:rsidRDefault="00000000" w:rsidRPr="00000000">
      <w:pPr>
        <w:pBdr/>
        <w:contextualSpacing w:val="0"/>
        <w:rPr>
          <w:b w:val="1"/>
        </w:rPr>
      </w:pPr>
      <w:r w:rsidDel="00000000" w:rsidR="00000000" w:rsidRPr="00000000">
        <w:rPr>
          <w:b w:val="1"/>
          <w:rtl w:val="0"/>
        </w:rPr>
        <w:t xml:space="preserve">Deadlines for all individual work is Tuesday (June 13) at 7pm</w:t>
      </w:r>
    </w:p>
    <w:p w:rsidR="00000000" w:rsidDel="00000000" w:rsidP="00000000" w:rsidRDefault="00000000" w:rsidRPr="00000000">
      <w:pPr>
        <w:pBdr/>
        <w:contextualSpacing w:val="0"/>
        <w:rPr>
          <w:b w:val="1"/>
        </w:rPr>
      </w:pPr>
      <w:r w:rsidDel="00000000" w:rsidR="00000000" w:rsidRPr="00000000">
        <w:rPr>
          <w:b w:val="1"/>
          <w:rtl w:val="0"/>
        </w:rPr>
        <w:t xml:space="preserve">Team confirmation before final submission on Wednesday June 14</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bls.gov/cps/earnings.htm#minwage" TargetMode="External"/><Relationship Id="rId10" Type="http://schemas.openxmlformats.org/officeDocument/2006/relationships/hyperlink" Target="https://www.bls.gov/cps/earnings.htm#minwage" TargetMode="External"/><Relationship Id="rId9" Type="http://schemas.openxmlformats.org/officeDocument/2006/relationships/hyperlink" Target="https://www.insidehighered.com/news/2017/02/15/gender-pay-gap-persists-higher-education-administrators" TargetMode="External"/><Relationship Id="rId5" Type="http://schemas.openxmlformats.org/officeDocument/2006/relationships/hyperlink" Target="https://drive.google.com/drive/folders/0B0t494DnrmspYzM2LTZLVTBrQjA" TargetMode="External"/><Relationship Id="rId6" Type="http://schemas.openxmlformats.org/officeDocument/2006/relationships/hyperlink" Target="http://data.worldbank.org/topic/gender" TargetMode="External"/><Relationship Id="rId7" Type="http://schemas.openxmlformats.org/officeDocument/2006/relationships/hyperlink" Target="https://factfinder.census.gov/faces/nav/jsf/pages/searchresults.xhtml?refresh=t#none" TargetMode="External"/><Relationship Id="rId8" Type="http://schemas.openxmlformats.org/officeDocument/2006/relationships/hyperlink" Target="http://www.pewresearch.org/fact-tank/2017/04/03/gender-pay-gap-facts/" TargetMode="External"/></Relationships>
</file>