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2"/>
        <w:rPr>
          <w:rFonts w:ascii="Papyrus"/>
          <w:sz w:val="52"/>
          <w:szCs w:val="52"/>
        </w:rPr>
      </w:pPr>
    </w:p>
    <w:p>
      <w:pPr>
        <w:pStyle w:val="Body 2"/>
        <w:rPr>
          <w:rFonts w:ascii="Papyrus"/>
          <w:sz w:val="52"/>
          <w:szCs w:val="52"/>
        </w:rPr>
      </w:pPr>
    </w:p>
    <w:p>
      <w:pPr>
        <w:pStyle w:val="Body 2"/>
        <w:rPr>
          <w:rFonts w:ascii="Bradley Hand ITC TT-Bold"/>
          <w:sz w:val="52"/>
          <w:szCs w:val="52"/>
        </w:rPr>
      </w:pPr>
    </w:p>
    <w:p>
      <w:pPr>
        <w:pStyle w:val="Body 2"/>
        <w:rPr>
          <w:rFonts w:ascii="Bradley Hand ITC TT-Bold" w:cs="Bradley Hand ITC TT-Bold" w:hAnsi="Bradley Hand ITC TT-Bold" w:eastAsia="Bradley Hand ITC TT-Bold"/>
          <w:sz w:val="40"/>
          <w:szCs w:val="40"/>
        </w:rPr>
      </w:pPr>
      <w:r>
        <w:rPr>
          <w:rFonts w:ascii="Bradley Hand ITC TT-Bold"/>
          <w:sz w:val="56"/>
          <w:szCs w:val="56"/>
          <w:rtl w:val="0"/>
          <w:lang w:val="en-US"/>
        </w:rPr>
        <w:t xml:space="preserve">Gender pay gape: </w:t>
      </w:r>
      <w:r>
        <w:rPr>
          <w:rFonts w:ascii="Bradley Hand ITC TT-Bold"/>
          <w:sz w:val="56"/>
          <w:szCs w:val="56"/>
          <w:rtl w:val="0"/>
          <w:lang w:val="en-US"/>
        </w:rPr>
        <w:t>The Dollar-And-Cents Case</w:t>
      </w:r>
      <w:r>
        <w:rPr>
          <w:rFonts w:ascii="Bradley Hand ITC TT-Bold"/>
          <w:sz w:val="56"/>
          <w:szCs w:val="56"/>
          <w:rtl w:val="0"/>
          <w:lang w:val="en-US"/>
        </w:rPr>
        <w:t>:</w:t>
      </w:r>
      <w:r>
        <w:rPr>
          <w:rFonts w:ascii="Bradley Hand ITC TT-Bold"/>
          <w:sz w:val="40"/>
          <w:szCs w:val="40"/>
          <w:rtl w:val="0"/>
          <w:lang w:val="en-US"/>
        </w:rPr>
        <w:t>Hidden factors behind the story- is it gender biasing or something else?</w:t>
      </w:r>
    </w:p>
    <w:p>
      <w:pPr>
        <w:pStyle w:val="Body 2"/>
        <w:rPr>
          <w:rFonts w:ascii="Bradley Hand ITC TT-Bold" w:cs="Bradley Hand ITC TT-Bold" w:hAnsi="Bradley Hand ITC TT-Bold" w:eastAsia="Bradley Hand ITC TT-Bold"/>
          <w:sz w:val="40"/>
          <w:szCs w:val="40"/>
        </w:rPr>
      </w:pPr>
    </w:p>
    <w:p>
      <w:pPr>
        <w:pStyle w:val="Body 2"/>
        <w:rPr>
          <w:rFonts w:ascii="Bradley Hand ITC TT-Bold" w:cs="Bradley Hand ITC TT-Bold" w:hAnsi="Bradley Hand ITC TT-Bold" w:eastAsia="Bradley Hand ITC TT-Bold"/>
          <w:sz w:val="40"/>
          <w:szCs w:val="40"/>
        </w:rPr>
      </w:pPr>
    </w:p>
    <w:p>
      <w:pPr>
        <w:pStyle w:val="Body 2"/>
        <w:rPr>
          <w:rFonts w:ascii="Bradley Hand ITC TT-Bold" w:cs="Bradley Hand ITC TT-Bold" w:hAnsi="Bradley Hand ITC TT-Bold" w:eastAsia="Bradley Hand ITC TT-Bold"/>
          <w:sz w:val="40"/>
          <w:szCs w:val="40"/>
        </w:rPr>
      </w:pPr>
    </w:p>
    <w:p>
      <w:pPr>
        <w:pStyle w:val="Body 2"/>
        <w:rPr>
          <w:rFonts w:ascii="Bradley Hand ITC TT-Bold" w:cs="Bradley Hand ITC TT-Bold" w:hAnsi="Bradley Hand ITC TT-Bold" w:eastAsia="Bradley Hand ITC TT-Bold"/>
          <w:sz w:val="40"/>
          <w:szCs w:val="40"/>
        </w:rPr>
      </w:pPr>
    </w:p>
    <w:p>
      <w:pPr>
        <w:pStyle w:val="Body 2"/>
        <w:rPr>
          <w:rFonts w:ascii="Bradley Hand ITC TT-Bold" w:cs="Bradley Hand ITC TT-Bold" w:hAnsi="Bradley Hand ITC TT-Bold" w:eastAsia="Bradley Hand ITC TT-Bold"/>
          <w:sz w:val="40"/>
          <w:szCs w:val="40"/>
        </w:rPr>
      </w:pPr>
    </w:p>
    <w:p>
      <w:pPr>
        <w:pStyle w:val="Body 2"/>
        <w:jc w:val="right"/>
        <w:rPr>
          <w:rFonts w:ascii="Bradley Hand ITC TT-Bold" w:cs="Bradley Hand ITC TT-Bold" w:hAnsi="Bradley Hand ITC TT-Bold" w:eastAsia="Bradley Hand ITC TT-Bold"/>
          <w:sz w:val="40"/>
          <w:szCs w:val="40"/>
        </w:rPr>
      </w:pPr>
      <w:r>
        <w:rPr>
          <w:rFonts w:ascii="Bradley Hand ITC TT-Bold"/>
          <w:sz w:val="40"/>
          <w:szCs w:val="40"/>
          <w:rtl w:val="0"/>
          <w:lang w:val="en-US"/>
        </w:rPr>
        <w:t>by -Purnima Tripathi</w:t>
      </w:r>
    </w:p>
    <w:p>
      <w:pPr>
        <w:pStyle w:val="Body 2"/>
        <w:jc w:val="right"/>
        <w:rPr>
          <w:rFonts w:ascii="Bradley Hand ITC TT-Bold" w:cs="Bradley Hand ITC TT-Bold" w:hAnsi="Bradley Hand ITC TT-Bold" w:eastAsia="Bradley Hand ITC TT-Bold"/>
          <w:sz w:val="40"/>
          <w:szCs w:val="40"/>
        </w:rPr>
      </w:pPr>
      <w:r>
        <w:rPr>
          <w:rFonts w:ascii="Bradley Hand ITC TT-Bold"/>
          <w:sz w:val="40"/>
          <w:szCs w:val="40"/>
          <w:rtl w:val="0"/>
          <w:lang w:val="en-US"/>
        </w:rPr>
        <w:t xml:space="preserve">       Mishita Biyani</w:t>
      </w:r>
    </w:p>
    <w:p>
      <w:pPr>
        <w:pStyle w:val="Body 2"/>
        <w:jc w:val="right"/>
        <w:rPr>
          <w:rFonts w:ascii="Bradley Hand ITC TT-Bold" w:cs="Bradley Hand ITC TT-Bold" w:hAnsi="Bradley Hand ITC TT-Bold" w:eastAsia="Bradley Hand ITC TT-Bold"/>
          <w:sz w:val="40"/>
          <w:szCs w:val="40"/>
        </w:rPr>
      </w:pPr>
      <w:r>
        <w:rPr>
          <w:rFonts w:ascii="Bradley Hand ITC TT-Bold"/>
          <w:sz w:val="40"/>
          <w:szCs w:val="40"/>
          <w:rtl w:val="0"/>
          <w:lang w:val="en-US"/>
        </w:rPr>
        <w:t xml:space="preserve">       Ayesha Ajmal</w:t>
      </w:r>
    </w:p>
    <w:p>
      <w:pPr>
        <w:pStyle w:val="Body 2"/>
        <w:jc w:val="right"/>
        <w:rPr>
          <w:rFonts w:ascii="Bradley Hand ITC TT-Bold" w:cs="Bradley Hand ITC TT-Bold" w:hAnsi="Bradley Hand ITC TT-Bold" w:eastAsia="Bradley Hand ITC TT-Bold"/>
          <w:sz w:val="40"/>
          <w:szCs w:val="40"/>
        </w:rPr>
      </w:pPr>
      <w:r>
        <w:rPr>
          <w:rFonts w:ascii="Bradley Hand ITC TT-Bold"/>
          <w:sz w:val="40"/>
          <w:szCs w:val="40"/>
          <w:rtl w:val="0"/>
          <w:lang w:val="en-US"/>
        </w:rPr>
        <w:t xml:space="preserve">       Sherry</w:t>
      </w:r>
    </w:p>
    <w:p>
      <w:pPr>
        <w:pStyle w:val="Body 2"/>
        <w:jc w:val="right"/>
        <w:rPr>
          <w:rFonts w:ascii="Bradley Hand ITC TT-Bold" w:cs="Bradley Hand ITC TT-Bold" w:hAnsi="Bradley Hand ITC TT-Bold" w:eastAsia="Bradley Hand ITC TT-Bold"/>
          <w:sz w:val="40"/>
          <w:szCs w:val="40"/>
        </w:rPr>
      </w:pPr>
      <w:r>
        <w:rPr>
          <w:rFonts w:ascii="Bradley Hand ITC TT-Bold"/>
          <w:sz w:val="40"/>
          <w:szCs w:val="40"/>
          <w:rtl w:val="0"/>
          <w:lang w:val="en-US"/>
        </w:rPr>
        <w:t xml:space="preserve">       Yuan</w:t>
      </w:r>
    </w:p>
    <w:p>
      <w:pPr>
        <w:pStyle w:val="Body 2"/>
        <w:jc w:val="right"/>
        <w:rPr>
          <w:rFonts w:ascii="Bradley Hand ITC TT-Bold" w:cs="Bradley Hand ITC TT-Bold" w:hAnsi="Bradley Hand ITC TT-Bold" w:eastAsia="Bradley Hand ITC TT-Bold"/>
          <w:sz w:val="40"/>
          <w:szCs w:val="40"/>
        </w:rPr>
      </w:pPr>
    </w:p>
    <w:p>
      <w:pPr>
        <w:pStyle w:val="Body 2"/>
        <w:jc w:val="right"/>
        <w:rPr>
          <w:rFonts w:ascii="Bradley Hand ITC TT-Bold" w:cs="Bradley Hand ITC TT-Bold" w:hAnsi="Bradley Hand ITC TT-Bold" w:eastAsia="Bradley Hand ITC TT-Bold"/>
          <w:sz w:val="40"/>
          <w:szCs w:val="40"/>
        </w:rPr>
      </w:pPr>
    </w:p>
    <w:p>
      <w:pPr>
        <w:pStyle w:val="Body 2"/>
        <w:jc w:val="right"/>
        <w:rPr>
          <w:rFonts w:ascii="Bradley Hand ITC TT-Bold" w:cs="Bradley Hand ITC TT-Bold" w:hAnsi="Bradley Hand ITC TT-Bold" w:eastAsia="Bradley Hand ITC TT-Bold"/>
          <w:sz w:val="40"/>
          <w:szCs w:val="40"/>
        </w:rPr>
      </w:pPr>
    </w:p>
    <w:p>
      <w:pPr>
        <w:pStyle w:val="Body 2"/>
        <w:jc w:val="right"/>
        <w:rPr>
          <w:rFonts w:ascii="Bradley Hand ITC TT-Bold" w:cs="Bradley Hand ITC TT-Bold" w:hAnsi="Bradley Hand ITC TT-Bold" w:eastAsia="Bradley Hand ITC TT-Bold"/>
          <w:sz w:val="40"/>
          <w:szCs w:val="40"/>
        </w:rPr>
      </w:pPr>
    </w:p>
    <w:p>
      <w:pPr>
        <w:pStyle w:val="Body 2"/>
        <w:jc w:val="right"/>
        <w:rPr>
          <w:rFonts w:ascii="Bradley Hand ITC TT-Bold" w:cs="Bradley Hand ITC TT-Bold" w:hAnsi="Bradley Hand ITC TT-Bold" w:eastAsia="Bradley Hand ITC TT-Bold"/>
          <w:sz w:val="40"/>
          <w:szCs w:val="40"/>
        </w:rPr>
      </w:pPr>
    </w:p>
    <w:p>
      <w:pPr>
        <w:pStyle w:val="Body 2"/>
        <w:jc w:val="left"/>
        <w:rPr>
          <w:rFonts w:ascii="Bradley Hand ITC TT-Bold" w:cs="Bradley Hand ITC TT-Bold" w:hAnsi="Bradley Hand ITC TT-Bold" w:eastAsia="Bradley Hand ITC TT-Bold"/>
          <w:sz w:val="34"/>
          <w:szCs w:val="34"/>
        </w:rPr>
      </w:pPr>
      <w:r>
        <w:rPr>
          <w:rFonts w:ascii="Bradley Hand ITC TT-Bold"/>
          <w:sz w:val="34"/>
          <w:szCs w:val="34"/>
          <w:rtl w:val="0"/>
          <w:lang w:val="en-US"/>
        </w:rPr>
        <w:t xml:space="preserve">About the project: </w:t>
      </w:r>
    </w:p>
    <w:p>
      <w:pPr>
        <w:pStyle w:val="Body 2"/>
        <w:jc w:val="left"/>
        <w:rPr>
          <w:rFonts w:ascii="Bradley Hand ITC TT-Bold" w:cs="Bradley Hand ITC TT-Bold" w:hAnsi="Bradley Hand ITC TT-Bold" w:eastAsia="Bradley Hand ITC TT-Bold"/>
          <w:sz w:val="34"/>
          <w:szCs w:val="34"/>
        </w:rPr>
      </w:pPr>
    </w:p>
    <w:p>
      <w:pPr>
        <w:pStyle w:val="Body 2"/>
        <w:jc w:val="left"/>
        <w:rPr>
          <w:rFonts w:ascii="Times" w:cs="Times" w:hAnsi="Times" w:eastAsia="Times"/>
          <w:sz w:val="28"/>
          <w:szCs w:val="28"/>
        </w:rPr>
      </w:pPr>
      <w:r>
        <w:rPr>
          <w:rFonts w:ascii="Times"/>
          <w:sz w:val="28"/>
          <w:szCs w:val="28"/>
          <w:rtl w:val="0"/>
          <w:lang w:val="en-US"/>
        </w:rPr>
        <w:t xml:space="preserve">According to an article by Forbes even undergraduate women from Harvard believe that when they are going to earn they will get 78 cents on the dollar compared to men just because they are women. Those women admitted to Harvard can be distinguished from the smartest, most talented and most dedicated of their high school peers but even if they can freak out over the issue, </w:t>
      </w:r>
      <w:r>
        <w:rPr>
          <w:rFonts w:ascii="Times"/>
          <w:sz w:val="28"/>
          <w:szCs w:val="28"/>
          <w:rtl w:val="0"/>
          <w:lang w:val="en-US"/>
        </w:rPr>
        <w:t>We</w:t>
      </w:r>
      <w:r>
        <w:rPr>
          <w:rFonts w:ascii="Times"/>
          <w:sz w:val="28"/>
          <w:szCs w:val="28"/>
          <w:rtl w:val="0"/>
          <w:lang w:val="en-US"/>
        </w:rPr>
        <w:t xml:space="preserve"> feel anyone can feel the same. Being a woman dominated group (</w:t>
      </w:r>
      <w:r>
        <w:rPr>
          <w:rFonts w:hAnsi="Times" w:hint="default"/>
          <w:sz w:val="28"/>
          <w:szCs w:val="28"/>
          <w:rtl w:val="0"/>
        </w:rPr>
        <w:t>“</w:t>
      </w:r>
      <w:r>
        <w:rPr>
          <w:rFonts w:ascii="Times"/>
          <w:sz w:val="28"/>
          <w:szCs w:val="28"/>
          <w:rtl w:val="0"/>
          <w:lang w:val="en-US"/>
        </w:rPr>
        <w:t>in the number of participants</w:t>
      </w:r>
      <w:r>
        <w:rPr>
          <w:rFonts w:hAnsi="Times" w:hint="default"/>
          <w:sz w:val="28"/>
          <w:szCs w:val="28"/>
          <w:rtl w:val="0"/>
        </w:rPr>
        <w:t>”</w:t>
      </w:r>
      <w:r>
        <w:rPr>
          <w:rFonts w:ascii="Times"/>
          <w:sz w:val="28"/>
          <w:szCs w:val="28"/>
          <w:rtl w:val="0"/>
          <w:lang w:val="en-US"/>
        </w:rPr>
        <w:t xml:space="preserve">) we are very much concerned that all of our hard work should not become a victim of gender bias if it exists. Here, we found our way to start our analysis of this critical issue of PAY wage gap in the USA. </w:t>
      </w: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r>
        <w:rPr>
          <w:rFonts w:ascii="Bradley Hand ITC TT-Bold"/>
          <w:sz w:val="34"/>
          <w:szCs w:val="34"/>
          <w:rtl w:val="0"/>
          <w:lang w:val="en-US"/>
        </w:rPr>
        <w:t xml:space="preserve">Claim: </w:t>
      </w:r>
    </w:p>
    <w:p>
      <w:pPr>
        <w:pStyle w:val="Body 2"/>
        <w:jc w:val="left"/>
        <w:rPr>
          <w:rFonts w:ascii="Bradley Hand ITC TT-Bold" w:cs="Bradley Hand ITC TT-Bold" w:hAnsi="Bradley Hand ITC TT-Bold" w:eastAsia="Bradley Hand ITC TT-Bold"/>
          <w:sz w:val="34"/>
          <w:szCs w:val="34"/>
        </w:rPr>
      </w:pPr>
    </w:p>
    <w:p>
      <w:pPr>
        <w:pStyle w:val="Body 2"/>
        <w:jc w:val="left"/>
        <w:rPr>
          <w:rFonts w:ascii="Times" w:cs="Times" w:hAnsi="Times" w:eastAsia="Times"/>
          <w:sz w:val="28"/>
          <w:szCs w:val="28"/>
        </w:rPr>
      </w:pPr>
      <w:r>
        <w:rPr>
          <w:rFonts w:ascii="Times"/>
          <w:sz w:val="28"/>
          <w:szCs w:val="28"/>
          <w:rtl w:val="0"/>
          <w:lang w:val="en-US"/>
        </w:rPr>
        <w:t>Researchers claim that women in the USA earn 78 cents on the dollar compare to men, this story doesn</w:t>
      </w:r>
      <w:r>
        <w:rPr>
          <w:rFonts w:hAnsi="Times" w:hint="default"/>
          <w:sz w:val="28"/>
          <w:szCs w:val="28"/>
          <w:rtl w:val="0"/>
          <w:lang w:val="fr-FR"/>
        </w:rPr>
        <w:t>’</w:t>
      </w:r>
      <w:r>
        <w:rPr>
          <w:rFonts w:ascii="Times"/>
          <w:sz w:val="28"/>
          <w:szCs w:val="28"/>
          <w:rtl w:val="0"/>
          <w:lang w:val="en-US"/>
        </w:rPr>
        <w:t xml:space="preserve">t hold good for gender bias. Women voluntarily picked up lesser paying jobs and there are fields in which women are earning equally to men in the same profession such as Tennis. There are fields such as entertainment and movies in which women are earning less but it requires critical analysis of genre, screen time, lead role e.t.c. However, we can not just conclude with one metrics that women are not the victim of discrimination but pay wage gap certainly not qualifies as one.  </w:t>
      </w:r>
    </w:p>
    <w:p>
      <w:pPr>
        <w:pStyle w:val="Body 2"/>
        <w:jc w:val="left"/>
        <w:rPr>
          <w:rFonts w:ascii="Times" w:cs="Times" w:hAnsi="Times" w:eastAsia="Times"/>
          <w:sz w:val="28"/>
          <w:szCs w:val="28"/>
        </w:rPr>
      </w:pPr>
    </w:p>
    <w:p>
      <w:pPr>
        <w:pStyle w:val="Body 2"/>
        <w:jc w:val="left"/>
        <w:rPr>
          <w:rFonts w:ascii="Times" w:cs="Times" w:hAnsi="Times" w:eastAsia="Times"/>
          <w:sz w:val="28"/>
          <w:szCs w:val="28"/>
        </w:rPr>
      </w:pPr>
    </w:p>
    <w:p>
      <w:pPr>
        <w:pStyle w:val="Body 2"/>
        <w:jc w:val="left"/>
        <w:rPr>
          <w:rFonts w:ascii="Times" w:cs="Times" w:hAnsi="Times" w:eastAsia="Times"/>
          <w:sz w:val="28"/>
          <w:szCs w:val="28"/>
        </w:rPr>
      </w:pPr>
    </w:p>
    <w:p>
      <w:pPr>
        <w:pStyle w:val="Body 2"/>
        <w:jc w:val="left"/>
        <w:rPr>
          <w:rFonts w:ascii="Times" w:cs="Times" w:hAnsi="Times" w:eastAsia="Times"/>
          <w:sz w:val="28"/>
          <w:szCs w:val="28"/>
        </w:rPr>
      </w:pPr>
    </w:p>
    <w:p>
      <w:pPr>
        <w:pStyle w:val="Body 2"/>
        <w:jc w:val="left"/>
        <w:rPr>
          <w:rFonts w:ascii="Times" w:cs="Times" w:hAnsi="Times" w:eastAsia="Times"/>
          <w:sz w:val="28"/>
          <w:szCs w:val="28"/>
        </w:rPr>
      </w:pPr>
    </w:p>
    <w:p>
      <w:pPr>
        <w:pStyle w:val="Body 2"/>
        <w:jc w:val="left"/>
        <w:rPr>
          <w:rFonts w:ascii="Times" w:cs="Times" w:hAnsi="Times" w:eastAsia="Times"/>
          <w:sz w:val="28"/>
          <w:szCs w:val="28"/>
        </w:rPr>
      </w:pPr>
      <w:r>
        <w:rPr>
          <w:rFonts w:ascii="Bradley Hand ITC TT-Bold"/>
          <w:sz w:val="34"/>
          <w:szCs w:val="34"/>
          <w:rtl w:val="0"/>
          <w:lang w:val="en-US"/>
        </w:rPr>
        <w:t>Overview of no. of men and women in different kind of Occupation:</w:t>
      </w:r>
    </w:p>
    <w:p>
      <w:pPr>
        <w:pStyle w:val="Body 2"/>
        <w:jc w:val="left"/>
        <w:rPr>
          <w:rFonts w:ascii="Courier" w:cs="Courier" w:hAnsi="Courier" w:eastAsia="Courier"/>
          <w:b w:val="1"/>
          <w:bCs w:val="1"/>
          <w:sz w:val="40"/>
          <w:szCs w:val="40"/>
        </w:rPr>
      </w:pPr>
    </w:p>
    <w:p>
      <w:pPr>
        <w:pStyle w:val="Body 2"/>
        <w:jc w:val="left"/>
        <w:rPr>
          <w:rFonts w:ascii="Courier" w:cs="Courier" w:hAnsi="Courier" w:eastAsia="Courier"/>
          <w:b w:val="1"/>
          <w:bCs w:val="1"/>
          <w:sz w:val="40"/>
          <w:szCs w:val="40"/>
        </w:rPr>
      </w:pPr>
    </w:p>
    <w:p>
      <w:pPr>
        <w:pStyle w:val="Body 2"/>
        <w:jc w:val="left"/>
        <w:rPr>
          <w:rFonts w:ascii="Courier" w:cs="Courier" w:hAnsi="Courier" w:eastAsia="Courier"/>
          <w:b w:val="1"/>
          <w:bCs w:val="1"/>
          <w:sz w:val="40"/>
          <w:szCs w:val="40"/>
        </w:rPr>
      </w:pP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r>
        <w:rPr>
          <w:rFonts w:ascii="Bradley Hand ITC TT-Bold"/>
          <w:sz w:val="34"/>
          <w:szCs w:val="34"/>
          <w:rtl w:val="0"/>
          <w:lang w:val="en-US"/>
        </w:rPr>
        <w:t>Average hourly pay in these occupation:</w:t>
      </w: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r>
        <w:rPr>
          <w:rFonts w:ascii="Bradley Hand ITC TT-Bold"/>
          <w:sz w:val="34"/>
          <w:szCs w:val="34"/>
          <w:rtl w:val="0"/>
          <w:lang w:val="en-US"/>
        </w:rPr>
        <w:t>New york at top / wyoming at bottom</w:t>
      </w: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r>
        <w:rPr>
          <w:rFonts w:ascii="Bradley Hand ITC TT-Bold"/>
          <w:sz w:val="34"/>
          <w:szCs w:val="34"/>
          <w:rtl w:val="0"/>
          <w:lang w:val="en-US"/>
        </w:rPr>
        <w:t>Where they are getting paid equally-sports</w:t>
      </w: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r>
        <w:rPr>
          <w:rFonts w:ascii="Bradley Hand ITC TT-Bold"/>
          <w:sz w:val="34"/>
          <w:szCs w:val="34"/>
          <w:rtl w:val="0"/>
          <w:lang w:val="en-US"/>
        </w:rPr>
        <w:t>Where they are not getting paid equally- movies</w:t>
      </w: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r>
        <w:rPr>
          <w:rFonts w:ascii="Bradley Hand ITC TT-Bold"/>
          <w:sz w:val="34"/>
          <w:szCs w:val="34"/>
          <w:rtl w:val="0"/>
          <w:lang w:val="en-US"/>
        </w:rPr>
        <w:t>Even UNDP does not consider pay wage gap a metrics for gender inequality</w:t>
      </w:r>
    </w:p>
    <w:p>
      <w:pPr>
        <w:pStyle w:val="Body 2"/>
        <w:jc w:val="left"/>
        <w:rPr>
          <w:rFonts w:ascii="Bradley Hand ITC TT-Bold" w:cs="Bradley Hand ITC TT-Bold" w:hAnsi="Bradley Hand ITC TT-Bold" w:eastAsia="Bradley Hand ITC TT-Bold"/>
          <w:sz w:val="34"/>
          <w:szCs w:val="34"/>
        </w:rPr>
      </w:pPr>
    </w:p>
    <w:p>
      <w:pPr>
        <w:pStyle w:val="Body 2"/>
        <w:jc w:val="left"/>
        <w:rPr>
          <w:rFonts w:ascii="Bradley Hand ITC TT-Bold" w:cs="Bradley Hand ITC TT-Bold" w:hAnsi="Bradley Hand ITC TT-Bold" w:eastAsia="Bradley Hand ITC TT-Bold"/>
          <w:sz w:val="34"/>
          <w:szCs w:val="34"/>
        </w:rPr>
      </w:pPr>
    </w:p>
    <w:p>
      <w:pPr>
        <w:pStyle w:val="Body 2"/>
        <w:jc w:val="left"/>
      </w:pPr>
      <w:r>
        <w:rPr>
          <w:rFonts w:ascii="Bradley Hand ITC TT-Bold" w:cs="Bradley Hand ITC TT-Bold" w:hAnsi="Bradley Hand ITC TT-Bold" w:eastAsia="Bradley Hand ITC TT-Bold"/>
          <w:sz w:val="34"/>
          <w:szCs w:val="34"/>
        </w:rPr>
      </w:r>
    </w:p>
    <w:sectPr>
      <w:headerReference w:type="default" r:id="rId4"/>
      <w:footerReference w:type="default" r:id="rId5"/>
      <w:pgSz w:w="11900" w:h="16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Papyrus">
    <w:charset w:val="00"/>
    <w:family w:val="roman"/>
    <w:pitch w:val="default"/>
  </w:font>
  <w:font w:name="Bradley Hand ITC TT-Bold">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fldChar w:fldCharType="begin" w:fldLock="0"/>
    </w:r>
    <w:r>
      <w:t xml:space="preserve"> PAGE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222222"/>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