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Graphene Field-Effect Biosensors for Label-Free Protein Detection</w:t>
      </w:r>
    </w:p>
    <w:p>
      <w:pPr>
        <w:pStyle w:val="Heading1"/>
      </w:pPr>
      <w:r>
        <w:t>Abstract</w:t>
      </w:r>
    </w:p>
    <w:p>
      <w:r>
        <w:t>We report a graphene field-effect transistor (GFET) biosensor for the label-free detection of target proteins at clinically relevant concentrations. The graphene channel is functionalized with a pyrene-based linker to immobilize capture antibodies while preserving carrier mobility. Analyte binding shifts the charge-neutrality (Dirac) point, yielding a dose-dependent electrical response. The device achieves a limit of detection in the picomolar range with high selectivity against non-target proteins, demonstrating the promise of GFET platforms for point-of-care diagnostics.</w:t>
      </w:r>
    </w:p>
    <w:p>
      <w:pPr>
        <w:pStyle w:val="Heading1"/>
      </w:pPr>
      <w:r>
        <w:t>Introduction</w:t>
      </w:r>
    </w:p>
    <w:p>
      <w:r>
        <w:t>Sensitive quantification of protein biomarkers underpins early disease diagnosis. Conventional immunoassays such as ELISA are sensitive but require labeling, multiple wash steps, and bench-top instrumentation, limiting their use at the point of care. Field-effect transistors transduce molecular binding directly into an electrical signal, enabling label-free, real-time readout in a compact format.</w:t>
      </w:r>
    </w:p>
    <w:p>
      <w:r>
        <w:t>Graphene is an attractive transducer material: its two-dimensional structure places every carbon atom at the surface, so charge transport is exquisitely sensitive to interfacial perturbations. Its high carrier mobility and chemical stability further favor low-noise, reproducible operation. Prior work has established graphene as a sensitive channel, but reproducible functionalization and quantitative calibration remain the principal challenges.</w:t>
      </w:r>
    </w:p>
    <w:p>
      <w:pPr>
        <w:pStyle w:val="Heading1"/>
      </w:pPr>
      <w:r>
        <w:t>Methods</w:t>
      </w:r>
    </w:p>
    <w:p>
      <w:r>
        <w:t>Monolayer graphene was grown by chemical vapor deposition on copper foil and transferred onto a silicon dioxide substrate using a poly(methyl methacrylate) support layer. Source and drain electrodes were patterned by photolithography. The channel was functionalized with 1-pyrenebutanoic acid succinimidyl ester, which anchors to graphene through pi-pi stacking and presents a reactive ester for covalent antibody attachment.</w:t>
      </w:r>
    </w:p>
    <w:p>
      <w:r>
        <w:t>Capture antibodies specific to the target protein were immobilized on the linker, and unreacted sites were blocked to suppress non-specific adsorption. Transfer characteristics were recorded in phosphate-buffered saline while the target protein was introduced at increasing concentrations. The shift of the Dirac point was extracted as the sensing metric.</w:t>
      </w:r>
    </w:p>
    <w:p>
      <w:pPr>
        <w:pStyle w:val="Heading1"/>
      </w:pPr>
      <w:r>
        <w:t>Results and Discussion</w:t>
      </w:r>
    </w:p>
    <w:p>
      <w:r>
        <w:t>Introduction of the target protein shifted the Dirac point monotonically with concentration, consistent with charge transfer and local gating by the bound analyte. The response was well described by a Langmuir binding isotherm, from which the dissociation constant was estimated. The limit of detection reached the picomolar range, and control experiments with non-target proteins produced negligible shifts, confirming the selectivity conferred by the antibody layer.</w:t>
      </w:r>
    </w:p>
    <w:p>
      <w:r>
        <w:t>Device-to-device variation was dominated by differences in transfer quality and residual photoresist, underscoring the importance of clean processing. These results indicate that careful surface chemistry, rather than intrinsic material limits, governs sensor performance.</w:t>
      </w:r>
    </w:p>
    <w:p>
      <w:pPr>
        <w:pStyle w:val="Heading1"/>
      </w:pPr>
      <w:r>
        <w:t>Conclusion</w:t>
      </w:r>
    </w:p>
    <w:p>
      <w:r>
        <w:t>We demonstrated a graphene field-effect biosensor that detects target proteins without labels at picomolar sensitivity and with high selectivity. The approach is compatible with scalable fabrication and multiplexing, and future work will address long-term stability and validation in complex biological matrices toward practical point-of-care diagnostics.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