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9C6F1E"/>
          <w:sz w:val="20"/>
          <w:szCs w:val="20"/>
        </w:rPr>
        <w:t xml:space="preserve">GENESIS COWORK COURSE</w:t>
      </w:r>
    </w:p>
    <w:p>
      <w:pPr>
        <w:spacing w:after="200"/>
      </w:pPr>
      <w:r>
        <w:rPr>
          <w:b/>
          <w:bCs/>
          <w:color w:val="1F1F1F"/>
          <w:sz w:val="40"/>
          <w:szCs w:val="40"/>
        </w:rPr>
        <w:t xml:space="preserve">Update Brief &amp; Run Guide</w:t>
      </w:r>
    </w:p>
    <w:p>
      <w:pPr>
        <w:spacing w:after="300"/>
      </w:pPr>
      <w:r>
        <w:rPr>
          <w:i/>
          <w:iCs/>
          <w:color w:val="595959"/>
          <w:sz w:val="20"/>
          <w:szCs w:val="20"/>
        </w:rPr>
        <w:t xml:space="preserve">Prepared for Mishel · August 2026 · based on a full review of the course folder</w:t>
      </w:r>
    </w:p>
    <w:p>
      <w:pPr>
        <w:pStyle w:val="Heading1"/>
        <w:pBdr>
          <w:bottom w:val="single" w:color="9C6F1E" w:sz="8" w:space="4"/>
        </w:pBdr>
        <w:spacing w:after="160" w:before="360"/>
      </w:pPr>
      <w:r>
        <w:rPr>
          <w:b/>
          <w:bCs/>
          <w:color w:val="1F1F1F"/>
          <w:sz w:val="30"/>
          <w:szCs w:val="30"/>
        </w:rPr>
        <w:t xml:space="preserve">1. What This Course Is</w:t>
      </w:r>
    </w:p>
    <w:p>
      <w:pPr>
        <w:spacing w:after="160" w:line="300"/>
      </w:pPr>
      <w:r>
        <w:rPr>
          <w:color w:val="1F1F1F"/>
          <w:sz w:val="22"/>
          <w:szCs w:val="22"/>
        </w:rPr>
        <w:t xml:space="preserve">A four-lesson, self-teaching Cowork course for Genesis accelerator founders. Claude reads START-HERE.md as its instructions and runs the lessons conversationally — the facilitator's job is to run the room, not deliver content. Total runtime is 50–75 minutes.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600"/>
      </w:tblGrid>
      <w:tr>
        <w:tc>
          <w:tcPr>
            <w:tcW w:type="dxa" w:w="1600"/>
            <w:shd w:fill="9C6F1E" w:val="clear"/>
            <w:tcMar>
              <w:top w:type="dxa" w:w="100"/>
              <w:left w:type="dxa" w:w="120"/>
              <w:bottom w:type="dxa" w:w="100"/>
              <w:right w:type="dxa" w:w="120"/>
            </w:tcMar>
          </w:tcPr>
          <w:p>
            <w:pPr>
              <w:jc w:val="left"/>
            </w:pPr>
            <w:r>
              <w:rPr>
                <w:b/>
                <w:bCs/>
                <w:color w:val="FFFFFF"/>
                <w:sz w:val="20"/>
                <w:szCs w:val="20"/>
              </w:rPr>
              <w:t xml:space="preserve">Lesson</w:t>
            </w:r>
          </w:p>
        </w:tc>
        <w:tc>
          <w:tcPr>
            <w:tcW w:type="dxa" w:w="2600"/>
            <w:shd w:fill="9C6F1E" w:val="clear"/>
            <w:tcMar>
              <w:top w:type="dxa" w:w="100"/>
              <w:left w:type="dxa" w:w="120"/>
              <w:bottom w:type="dxa" w:w="100"/>
              <w:right w:type="dxa" w:w="120"/>
            </w:tcMar>
          </w:tcPr>
          <w:p>
            <w:pPr>
              <w:jc w:val="left"/>
            </w:pPr>
            <w:r>
              <w:rPr>
                <w:b/>
                <w:bCs/>
                <w:color w:val="FFFFFF"/>
                <w:sz w:val="20"/>
                <w:szCs w:val="20"/>
              </w:rPr>
              <w:t xml:space="preserve">Mode / length</w:t>
            </w:r>
          </w:p>
        </w:tc>
        <w:tc>
          <w:tcPr>
            <w:tcW w:type="dxa" w:w="5600"/>
            <w:shd w:fill="9C6F1E" w:val="clear"/>
            <w:tcMar>
              <w:top w:type="dxa" w:w="100"/>
              <w:left w:type="dxa" w:w="120"/>
              <w:bottom w:type="dxa" w:w="100"/>
              <w:right w:type="dxa" w:w="120"/>
            </w:tcMar>
          </w:tcPr>
          <w:p>
            <w:pPr>
              <w:jc w:val="left"/>
            </w:pPr>
            <w:r>
              <w:rPr>
                <w:b/>
                <w:bCs/>
                <w:color w:val="FFFFFF"/>
                <w:sz w:val="20"/>
                <w:szCs w:val="20"/>
              </w:rPr>
              <w:t xml:space="preserve">What the founder walks away with</w:t>
            </w:r>
          </w:p>
        </w:tc>
      </w:tr>
      <w:tr>
        <w:tc>
          <w:tcPr>
            <w:tcW w:type="dxa" w:w="1600"/>
            <w:shd w:fill="FFFFFF" w:val="clear"/>
            <w:tcMar>
              <w:top w:type="dxa" w:w="100"/>
              <w:left w:type="dxa" w:w="120"/>
              <w:bottom w:type="dxa" w:w="100"/>
              <w:right w:type="dxa" w:w="120"/>
            </w:tcMar>
          </w:tcPr>
          <w:p>
            <w:pPr>
              <w:jc w:val="left"/>
            </w:pPr>
            <w:r>
              <w:rPr>
                <w:b w:val="false"/>
                <w:bCs w:val="false"/>
                <w:color w:val="1F1F1F"/>
                <w:sz w:val="20"/>
                <w:szCs w:val="20"/>
              </w:rPr>
              <w:t xml:space="preserve">1. First Contact</w:t>
            </w:r>
          </w:p>
        </w:tc>
        <w:tc>
          <w:tcPr>
            <w:tcW w:type="dxa" w:w="2600"/>
            <w:shd w:fill="F4F1EA" w:val="clear"/>
            <w:tcMar>
              <w:top w:type="dxa" w:w="100"/>
              <w:left w:type="dxa" w:w="120"/>
              <w:bottom w:type="dxa" w:w="100"/>
              <w:right w:type="dxa" w:w="120"/>
            </w:tcMar>
          </w:tcPr>
          <w:p>
            <w:pPr>
              <w:jc w:val="left"/>
            </w:pPr>
            <w:r>
              <w:rPr>
                <w:b w:val="false"/>
                <w:bCs w:val="false"/>
                <w:color w:val="1F1F1F"/>
                <w:sz w:val="20"/>
                <w:szCs w:val="20"/>
              </w:rPr>
              <w:t xml:space="preserve">Watch (~20 min)</w:t>
            </w:r>
          </w:p>
        </w:tc>
        <w:tc>
          <w:tcPr>
            <w:tcW w:type="dxa" w:w="5600"/>
            <w:shd w:fill="FFFFFF" w:val="clear"/>
            <w:tcMar>
              <w:top w:type="dxa" w:w="100"/>
              <w:left w:type="dxa" w:w="120"/>
              <w:bottom w:type="dxa" w:w="100"/>
              <w:right w:type="dxa" w:w="120"/>
            </w:tcMar>
          </w:tcPr>
          <w:p>
            <w:pPr>
              <w:jc w:val="left"/>
            </w:pPr>
            <w:r>
              <w:rPr>
                <w:b w:val="false"/>
                <w:bCs w:val="false"/>
                <w:color w:val="1F1F1F"/>
                <w:sz w:val="20"/>
                <w:szCs w:val="20"/>
              </w:rPr>
              <w:t xml:space="preserve">The “worker not chatbot” mental model, seen live: a 13-file mess reorganised in minutes.</w:t>
            </w:r>
          </w:p>
        </w:tc>
      </w:tr>
      <w:tr>
        <w:tc>
          <w:tcPr>
            <w:tcW w:type="dxa" w:w="1600"/>
            <w:shd w:fill="FFFFFF" w:val="clear"/>
            <w:tcMar>
              <w:top w:type="dxa" w:w="100"/>
              <w:left w:type="dxa" w:w="120"/>
              <w:bottom w:type="dxa" w:w="100"/>
              <w:right w:type="dxa" w:w="120"/>
            </w:tcMar>
          </w:tcPr>
          <w:p>
            <w:pPr>
              <w:jc w:val="left"/>
            </w:pPr>
            <w:r>
              <w:rPr>
                <w:b w:val="false"/>
                <w:bCs w:val="false"/>
                <w:color w:val="1F1F1F"/>
                <w:sz w:val="20"/>
                <w:szCs w:val="20"/>
              </w:rPr>
              <w:t xml:space="preserve">2. Data Cleanup</w:t>
            </w:r>
          </w:p>
        </w:tc>
        <w:tc>
          <w:tcPr>
            <w:tcW w:type="dxa" w:w="2600"/>
            <w:shd w:fill="F4F1EA" w:val="clear"/>
            <w:tcMar>
              <w:top w:type="dxa" w:w="100"/>
              <w:left w:type="dxa" w:w="120"/>
              <w:bottom w:type="dxa" w:w="100"/>
              <w:right w:type="dxa" w:w="120"/>
            </w:tcMar>
          </w:tcPr>
          <w:p>
            <w:pPr>
              <w:jc w:val="left"/>
            </w:pPr>
            <w:r>
              <w:rPr>
                <w:b w:val="false"/>
                <w:bCs w:val="false"/>
                <w:color w:val="1F1F1F"/>
                <w:sz w:val="20"/>
                <w:szCs w:val="20"/>
              </w:rPr>
              <w:t xml:space="preserve">Drive (~20 min)</w:t>
            </w:r>
          </w:p>
        </w:tc>
        <w:tc>
          <w:tcPr>
            <w:tcW w:type="dxa" w:w="5600"/>
            <w:shd w:fill="FFFFFF" w:val="clear"/>
            <w:tcMar>
              <w:top w:type="dxa" w:w="100"/>
              <w:left w:type="dxa" w:w="120"/>
              <w:bottom w:type="dxa" w:w="100"/>
              <w:right w:type="dxa" w:w="120"/>
            </w:tcMar>
          </w:tcPr>
          <w:p>
            <w:pPr>
              <w:jc w:val="left"/>
            </w:pPr>
            <w:r>
              <w:rPr>
                <w:b w:val="false"/>
                <w:bCs w:val="false"/>
                <w:color w:val="1F1F1F"/>
                <w:sz w:val="20"/>
                <w:szCs w:val="20"/>
              </w:rPr>
              <w:t xml:space="preserve">Practice writing a real brief; a merged, deduplicated contact list + audit log.</w:t>
            </w:r>
          </w:p>
        </w:tc>
      </w:tr>
      <w:tr>
        <w:tc>
          <w:tcPr>
            <w:tcW w:type="dxa" w:w="1600"/>
            <w:shd w:fill="FFFFFF" w:val="clear"/>
            <w:tcMar>
              <w:top w:type="dxa" w:w="100"/>
              <w:left w:type="dxa" w:w="120"/>
              <w:bottom w:type="dxa" w:w="100"/>
              <w:right w:type="dxa" w:w="120"/>
            </w:tcMar>
          </w:tcPr>
          <w:p>
            <w:pPr>
              <w:jc w:val="left"/>
            </w:pPr>
            <w:r>
              <w:rPr>
                <w:b w:val="false"/>
                <w:bCs w:val="false"/>
                <w:color w:val="1F1F1F"/>
                <w:sz w:val="20"/>
                <w:szCs w:val="20"/>
              </w:rPr>
              <w:t xml:space="preserve">3. Build Your Skill</w:t>
            </w:r>
          </w:p>
        </w:tc>
        <w:tc>
          <w:tcPr>
            <w:tcW w:type="dxa" w:w="2600"/>
            <w:shd w:fill="F4F1EA" w:val="clear"/>
            <w:tcMar>
              <w:top w:type="dxa" w:w="100"/>
              <w:left w:type="dxa" w:w="120"/>
              <w:bottom w:type="dxa" w:w="100"/>
              <w:right w:type="dxa" w:w="120"/>
            </w:tcMar>
          </w:tcPr>
          <w:p>
            <w:pPr>
              <w:jc w:val="left"/>
            </w:pPr>
            <w:r>
              <w:rPr>
                <w:b w:val="false"/>
                <w:bCs w:val="false"/>
                <w:color w:val="1F1F1F"/>
                <w:sz w:val="20"/>
                <w:szCs w:val="20"/>
              </w:rPr>
              <w:t xml:space="preserve">Co-build (~15 min)</w:t>
            </w:r>
          </w:p>
        </w:tc>
        <w:tc>
          <w:tcPr>
            <w:tcW w:type="dxa" w:w="5600"/>
            <w:shd w:fill="FFFFFF" w:val="clear"/>
            <w:tcMar>
              <w:top w:type="dxa" w:w="100"/>
              <w:left w:type="dxa" w:w="120"/>
              <w:bottom w:type="dxa" w:w="100"/>
              <w:right w:type="dxa" w:w="120"/>
            </w:tcMar>
          </w:tcPr>
          <w:p>
            <w:pPr>
              <w:jc w:val="left"/>
            </w:pPr>
            <w:r>
              <w:rPr>
                <w:b w:val="false"/>
                <w:bCs w:val="false"/>
                <w:color w:val="1F1F1F"/>
                <w:sz w:val="20"/>
                <w:szCs w:val="20"/>
              </w:rPr>
              <w:t xml:space="preserve">A saved, reusable investor-research skill in their own Cowork Skills library.</w:t>
            </w:r>
          </w:p>
        </w:tc>
      </w:tr>
      <w:tr>
        <w:tc>
          <w:tcPr>
            <w:tcW w:type="dxa" w:w="1600"/>
            <w:shd w:fill="FFFFFF" w:val="clear"/>
            <w:tcMar>
              <w:top w:type="dxa" w:w="100"/>
              <w:left w:type="dxa" w:w="120"/>
              <w:bottom w:type="dxa" w:w="100"/>
              <w:right w:type="dxa" w:w="120"/>
            </w:tcMar>
          </w:tcPr>
          <w:p>
            <w:pPr>
              <w:jc w:val="left"/>
            </w:pPr>
            <w:r>
              <w:rPr>
                <w:b w:val="false"/>
                <w:bCs w:val="false"/>
                <w:color w:val="1F1F1F"/>
                <w:sz w:val="20"/>
                <w:szCs w:val="20"/>
              </w:rPr>
              <w:t xml:space="preserve">4. The Pitch</w:t>
            </w:r>
          </w:p>
        </w:tc>
        <w:tc>
          <w:tcPr>
            <w:tcW w:type="dxa" w:w="2600"/>
            <w:shd w:fill="F4F1EA" w:val="clear"/>
            <w:tcMar>
              <w:top w:type="dxa" w:w="100"/>
              <w:left w:type="dxa" w:w="120"/>
              <w:bottom w:type="dxa" w:w="100"/>
              <w:right w:type="dxa" w:w="120"/>
            </w:tcMar>
          </w:tcPr>
          <w:p>
            <w:pPr>
              <w:jc w:val="left"/>
            </w:pPr>
            <w:r>
              <w:rPr>
                <w:b w:val="false"/>
                <w:bCs w:val="false"/>
                <w:color w:val="1F1F1F"/>
                <w:sz w:val="20"/>
                <w:szCs w:val="20"/>
              </w:rPr>
              <w:t xml:space="preserve">Do it live (~15 min)</w:t>
            </w:r>
          </w:p>
        </w:tc>
        <w:tc>
          <w:tcPr>
            <w:tcW w:type="dxa" w:w="5600"/>
            <w:shd w:fill="FFFFFF" w:val="clear"/>
            <w:tcMar>
              <w:top w:type="dxa" w:w="100"/>
              <w:left w:type="dxa" w:w="120"/>
              <w:bottom w:type="dxa" w:w="100"/>
              <w:right w:type="dxa" w:w="120"/>
            </w:tcMar>
          </w:tcPr>
          <w:p>
            <w:pPr>
              <w:jc w:val="left"/>
            </w:pPr>
            <w:r>
              <w:rPr>
                <w:b w:val="false"/>
                <w:bCs w:val="false"/>
                <w:color w:val="1F1F1F"/>
                <w:sz w:val="20"/>
                <w:szCs w:val="20"/>
              </w:rPr>
              <w:t xml:space="preserve">A real pitch email, researched and sent to a real investor — graduation.</w:t>
            </w:r>
          </w:p>
        </w:tc>
      </w:tr>
    </w:tbl>
    <w:p>
      <w:pPr>
        <w:spacing w:before="200"/>
      </w:pPr>
    </w:p>
    <w:p>
      <w:pPr>
        <w:spacing w:after="160" w:line="300"/>
      </w:pPr>
      <w:r>
        <w:rPr>
          <w:color w:val="1F1F1F"/>
          <w:sz w:val="22"/>
          <w:szCs w:val="22"/>
        </w:rPr>
        <w:t xml:space="preserve">Design logic: each lesson raises the stakes — watch, then drive, then build something reusable, then use it for real. Every lesson leaves behind a tangible artifact (an organised folder, a merged CRM, a saved skill, a sent email), which is what makes the course feel like real work rather than a demo.</w:t>
      </w:r>
    </w:p>
    <w:p>
      <w:pPr>
        <w:pStyle w:val="Heading1"/>
        <w:pBdr>
          <w:bottom w:val="single" w:color="9C6F1E" w:sz="8" w:space="4"/>
        </w:pBdr>
        <w:spacing w:after="160" w:before="360"/>
      </w:pPr>
      <w:r>
        <w:rPr>
          <w:b/>
          <w:bCs/>
          <w:color w:val="1F1F1F"/>
          <w:sz w:val="30"/>
          <w:szCs w:val="30"/>
        </w:rPr>
        <w:t xml:space="preserve">2. What Needs Updating Before You Reuse It</w:t>
      </w:r>
    </w:p>
    <w:p>
      <w:pPr>
        <w:spacing w:after="160" w:line="300"/>
      </w:pPr>
      <w:r>
        <w:rPr>
          <w:color w:val="1F1F1F"/>
          <w:sz w:val="22"/>
          <w:szCs w:val="22"/>
        </w:rPr>
        <w:t xml:space="preserve">The creator's instinct is right — nothing here is broken in a way that stops the files from opening, but several pieces are tied to one specific past run and will actively mislead a new cohort if left as-is.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6000"/>
      </w:tblGrid>
      <w:tr>
        <w:tc>
          <w:tcPr>
            <w:tcW w:type="dxa" w:w="1300"/>
            <w:shd w:fill="9C6F1E" w:val="clear"/>
            <w:tcMar>
              <w:top w:type="dxa" w:w="100"/>
              <w:left w:type="dxa" w:w="120"/>
              <w:bottom w:type="dxa" w:w="100"/>
              <w:right w:type="dxa" w:w="120"/>
            </w:tcMar>
          </w:tcPr>
          <w:p>
            <w:r>
              <w:rPr>
                <w:b/>
                <w:bCs/>
                <w:color w:val="FFFFFF"/>
                <w:sz w:val="20"/>
                <w:szCs w:val="20"/>
              </w:rPr>
              <w:t xml:space="preserve">Priority</w:t>
            </w:r>
          </w:p>
        </w:tc>
        <w:tc>
          <w:tcPr>
            <w:tcW w:type="dxa" w:w="2500"/>
            <w:shd w:fill="9C6F1E" w:val="clear"/>
            <w:tcMar>
              <w:top w:type="dxa" w:w="100"/>
              <w:left w:type="dxa" w:w="120"/>
              <w:bottom w:type="dxa" w:w="100"/>
              <w:right w:type="dxa" w:w="120"/>
            </w:tcMar>
          </w:tcPr>
          <w:p>
            <w:r>
              <w:rPr>
                <w:b/>
                <w:bCs/>
                <w:color w:val="FFFFFF"/>
                <w:sz w:val="20"/>
                <w:szCs w:val="20"/>
              </w:rPr>
              <w:t xml:space="preserve">Where</w:t>
            </w:r>
          </w:p>
        </w:tc>
        <w:tc>
          <w:tcPr>
            <w:tcW w:type="dxa" w:w="6000"/>
            <w:shd w:fill="9C6F1E" w:val="clear"/>
            <w:tcMar>
              <w:top w:type="dxa" w:w="100"/>
              <w:left w:type="dxa" w:w="120"/>
              <w:bottom w:type="dxa" w:w="100"/>
              <w:right w:type="dxa" w:w="120"/>
            </w:tcMar>
          </w:tcPr>
          <w:p>
            <w:r>
              <w:rPr>
                <w:b/>
                <w:bCs/>
                <w:color w:val="FFFFFF"/>
                <w:sz w:val="20"/>
                <w:szCs w:val="20"/>
              </w:rPr>
              <w:t xml:space="preserve">What to fix, and why it matters</w:t>
            </w:r>
          </w:p>
        </w:tc>
      </w:tr>
      <w:tr>
        <w:tc>
          <w:tcPr>
            <w:tcW w:type="dxa" w:w="1300"/>
            <w:shd w:fill="F4F1EA" w:val="clear"/>
            <w:tcMar>
              <w:top w:type="dxa" w:w="100"/>
              <w:left w:type="dxa" w:w="120"/>
              <w:bottom w:type="dxa" w:w="100"/>
              <w:right w:type="dxa" w:w="120"/>
            </w:tcMar>
          </w:tcPr>
          <w:p>
            <w:r>
              <w:rPr>
                <w:b/>
                <w:bCs/>
                <w:caps/>
                <w:color w:val="B3261E"/>
                <w:sz w:val="19"/>
                <w:szCs w:val="19"/>
              </w:rPr>
              <w:t xml:space="preserve">Blocking</w:t>
            </w:r>
          </w:p>
        </w:tc>
        <w:tc>
          <w:tcPr>
            <w:tcW w:type="dxa" w:w="2500"/>
            <w:tcMar>
              <w:top w:type="dxa" w:w="100"/>
              <w:left w:type="dxa" w:w="120"/>
              <w:bottom w:type="dxa" w:w="100"/>
              <w:right w:type="dxa" w:w="120"/>
            </w:tcMar>
          </w:tcPr>
          <w:p>
            <w:r>
              <w:rPr>
                <w:b w:val="false"/>
                <w:bCs w:val="false"/>
                <w:sz w:val="20"/>
                <w:szCs w:val="20"/>
              </w:rPr>
              <w:t xml:space="preserve">lessons/04-the-pitch.md + scenarios/*.csv</w:t>
            </w:r>
          </w:p>
        </w:tc>
        <w:tc>
          <w:tcPr>
            <w:tcW w:type="dxa" w:w="6000"/>
            <w:tcMar>
              <w:top w:type="dxa" w:w="100"/>
              <w:left w:type="dxa" w:w="120"/>
              <w:bottom w:type="dxa" w:w="100"/>
              <w:right w:type="dxa" w:w="120"/>
            </w:tcMar>
          </w:tcPr>
          <w:p>
            <w:r>
              <w:rPr>
                <w:b w:val="false"/>
                <w:bCs w:val="false"/>
                <w:sz w:val="20"/>
                <w:szCs w:val="20"/>
              </w:rPr>
              <w:t xml:space="preserve">Graduation exercise is written around one real, named investor (Marnix Denys, Airtree) who is described as physically running the session. Reusing as-is means telling founders to cold-email a real person who has no idea a new cohort exists, referencing things he never said. Needs a decision — see Section 3.</w:t>
            </w:r>
          </w:p>
        </w:tc>
      </w:tr>
      <w:tr>
        <w:tc>
          <w:tcPr>
            <w:tcW w:type="dxa" w:w="1300"/>
            <w:shd w:fill="F4F1EA" w:val="clear"/>
            <w:tcMar>
              <w:top w:type="dxa" w:w="100"/>
              <w:left w:type="dxa" w:w="120"/>
              <w:bottom w:type="dxa" w:w="100"/>
              <w:right w:type="dxa" w:w="120"/>
            </w:tcMar>
          </w:tcPr>
          <w:p>
            <w:r>
              <w:rPr>
                <w:b/>
                <w:bCs/>
                <w:caps/>
                <w:color w:val="B3261E"/>
                <w:sz w:val="19"/>
                <w:szCs w:val="19"/>
              </w:rPr>
              <w:t xml:space="preserve">Critical</w:t>
            </w:r>
          </w:p>
        </w:tc>
        <w:tc>
          <w:tcPr>
            <w:tcW w:type="dxa" w:w="2500"/>
            <w:tcMar>
              <w:top w:type="dxa" w:w="100"/>
              <w:left w:type="dxa" w:w="120"/>
              <w:bottom w:type="dxa" w:w="100"/>
              <w:right w:type="dxa" w:w="120"/>
            </w:tcMar>
          </w:tcPr>
          <w:p>
            <w:r>
              <w:rPr>
                <w:b w:val="false"/>
                <w:bCs w:val="false"/>
                <w:sz w:val="20"/>
                <w:szCs w:val="20"/>
              </w:rPr>
              <w:t xml:space="preserve">START-HERE.md — Attendee List</w:t>
            </w:r>
          </w:p>
        </w:tc>
        <w:tc>
          <w:tcPr>
            <w:tcW w:type="dxa" w:w="6000"/>
            <w:tcMar>
              <w:top w:type="dxa" w:w="100"/>
              <w:left w:type="dxa" w:w="120"/>
              <w:bottom w:type="dxa" w:w="100"/>
              <w:right w:type="dxa" w:w="120"/>
            </w:tcMar>
          </w:tcPr>
          <w:p>
            <w:r>
              <w:rPr>
                <w:b w:val="false"/>
                <w:bCs w:val="false"/>
                <w:sz w:val="20"/>
                <w:szCs w:val="20"/>
              </w:rPr>
              <w:t xml:space="preserve">Hardcoded to Genesis Cohort 36 (specific names → specific startups). None of it will match a new cohort, so the personalisation “wow moment” silently fails. Replace with the current cohort's names/startups before each run — CUSTOMISATION-GUIDE.md shows the format.</w:t>
            </w:r>
          </w:p>
        </w:tc>
      </w:tr>
      <w:tr>
        <w:tc>
          <w:tcPr>
            <w:tcW w:type="dxa" w:w="1300"/>
            <w:shd w:fill="F4F1EA" w:val="clear"/>
            <w:tcMar>
              <w:top w:type="dxa" w:w="100"/>
              <w:left w:type="dxa" w:w="120"/>
              <w:bottom w:type="dxa" w:w="100"/>
              <w:right w:type="dxa" w:w="120"/>
            </w:tcMar>
          </w:tcPr>
          <w:p>
            <w:r>
              <w:rPr>
                <w:b/>
                <w:bCs/>
                <w:caps/>
                <w:color w:val="A15C00"/>
                <w:sz w:val="19"/>
                <w:szCs w:val="19"/>
              </w:rPr>
              <w:t xml:space="preserve">Important</w:t>
            </w:r>
          </w:p>
        </w:tc>
        <w:tc>
          <w:tcPr>
            <w:tcW w:type="dxa" w:w="2500"/>
            <w:tcMar>
              <w:top w:type="dxa" w:w="100"/>
              <w:left w:type="dxa" w:w="120"/>
              <w:bottom w:type="dxa" w:w="100"/>
              <w:right w:type="dxa" w:w="120"/>
            </w:tcMar>
          </w:tcPr>
          <w:p>
            <w:r>
              <w:rPr>
                <w:b w:val="false"/>
                <w:bCs w:val="false"/>
                <w:sz w:val="20"/>
                <w:szCs w:val="20"/>
              </w:rPr>
              <w:t xml:space="preserve">COURSE-OVERVIEW.md, folder listing</w:t>
            </w:r>
          </w:p>
        </w:tc>
        <w:tc>
          <w:tcPr>
            <w:tcW w:type="dxa" w:w="6000"/>
            <w:tcMar>
              <w:top w:type="dxa" w:w="100"/>
              <w:left w:type="dxa" w:w="120"/>
              <w:bottom w:type="dxa" w:w="100"/>
              <w:right w:type="dxa" w:w="120"/>
            </w:tcMar>
          </w:tcPr>
          <w:p>
            <w:r>
              <w:rPr>
                <w:b w:val="false"/>
                <w:bCs w:val="false"/>
                <w:sz w:val="20"/>
                <w:szCs w:val="20"/>
              </w:rPr>
              <w:t xml:space="preserve">Still refers to the Lesson 4 file as 04-bonus-live-connector.md; the actual file is 04-the-pitch.md. Small, but it's proof the docs drifted after a rename — worth a clean pass so future edits aren't made against the wrong reference.</w:t>
            </w:r>
          </w:p>
        </w:tc>
      </w:tr>
      <w:tr>
        <w:tc>
          <w:tcPr>
            <w:tcW w:type="dxa" w:w="1300"/>
            <w:shd w:fill="F4F1EA" w:val="clear"/>
            <w:tcMar>
              <w:top w:type="dxa" w:w="100"/>
              <w:left w:type="dxa" w:w="120"/>
              <w:bottom w:type="dxa" w:w="100"/>
              <w:right w:type="dxa" w:w="120"/>
            </w:tcMar>
          </w:tcPr>
          <w:p>
            <w:r>
              <w:rPr>
                <w:b/>
                <w:bCs/>
                <w:caps/>
                <w:color w:val="A15C00"/>
                <w:sz w:val="19"/>
                <w:szCs w:val="19"/>
              </w:rPr>
              <w:t xml:space="preserve">Important</w:t>
            </w:r>
          </w:p>
        </w:tc>
        <w:tc>
          <w:tcPr>
            <w:tcW w:type="dxa" w:w="2500"/>
            <w:tcMar>
              <w:top w:type="dxa" w:w="100"/>
              <w:left w:type="dxa" w:w="120"/>
              <w:bottom w:type="dxa" w:w="100"/>
              <w:right w:type="dxa" w:w="120"/>
            </w:tcMar>
          </w:tcPr>
          <w:p>
            <w:r>
              <w:rPr>
                <w:b w:val="false"/>
                <w:bCs w:val="false"/>
                <w:sz w:val="20"/>
                <w:szCs w:val="20"/>
              </w:rPr>
              <w:t xml:space="preserve">COURSE-OVERVIEW.md — Pre-work</w:t>
            </w:r>
          </w:p>
        </w:tc>
        <w:tc>
          <w:tcPr>
            <w:tcW w:type="dxa" w:w="6000"/>
            <w:tcMar>
              <w:top w:type="dxa" w:w="100"/>
              <w:left w:type="dxa" w:w="120"/>
              <w:bottom w:type="dxa" w:w="100"/>
              <w:right w:type="dxa" w:w="120"/>
            </w:tcMar>
          </w:tcPr>
          <w:p>
            <w:r>
              <w:rPr>
                <w:b w:val="false"/>
                <w:bCs w:val="false"/>
                <w:sz w:val="20"/>
                <w:szCs w:val="20"/>
              </w:rPr>
              <w:t xml:space="preserve">References Claude Pro pricing and exact menu paths (Settings &gt; Connectors &gt; Google; Customise &gt; Skills &gt; Add skill). Verify these against the current app before a live session — UI and pricing both drift over time, and a wrong instruction here strands a founder mid-lesson.</w:t>
            </w:r>
          </w:p>
        </w:tc>
      </w:tr>
      <w:tr>
        <w:tc>
          <w:tcPr>
            <w:tcW w:type="dxa" w:w="1300"/>
            <w:shd w:fill="F4F1EA" w:val="clear"/>
            <w:tcMar>
              <w:top w:type="dxa" w:w="100"/>
              <w:left w:type="dxa" w:w="120"/>
              <w:bottom w:type="dxa" w:w="100"/>
              <w:right w:type="dxa" w:w="120"/>
            </w:tcMar>
          </w:tcPr>
          <w:p>
            <w:r>
              <w:rPr>
                <w:b/>
                <w:bCs/>
                <w:caps/>
                <w:color w:val="3A6B35"/>
                <w:sz w:val="19"/>
                <w:szCs w:val="19"/>
              </w:rPr>
              <w:t xml:space="preserve">Cosmetic</w:t>
            </w:r>
          </w:p>
        </w:tc>
        <w:tc>
          <w:tcPr>
            <w:tcW w:type="dxa" w:w="2500"/>
            <w:tcMar>
              <w:top w:type="dxa" w:w="100"/>
              <w:left w:type="dxa" w:w="120"/>
              <w:bottom w:type="dxa" w:w="100"/>
              <w:right w:type="dxa" w:w="120"/>
            </w:tcMar>
          </w:tcPr>
          <w:p>
            <w:r>
              <w:rPr>
                <w:b w:val="false"/>
                <w:bCs w:val="false"/>
                <w:sz w:val="20"/>
                <w:szCs w:val="20"/>
              </w:rPr>
              <w:t xml:space="preserve">Credits line + CSV sample dates</w:t>
            </w:r>
          </w:p>
        </w:tc>
        <w:tc>
          <w:tcPr>
            <w:tcW w:type="dxa" w:w="6000"/>
            <w:tcMar>
              <w:top w:type="dxa" w:w="100"/>
              <w:left w:type="dxa" w:w="120"/>
              <w:bottom w:type="dxa" w:w="100"/>
              <w:right w:type="dxa" w:w="120"/>
            </w:tcMar>
          </w:tcPr>
          <w:p>
            <w:r>
              <w:rPr>
                <w:b w:val="false"/>
                <w:bCs w:val="false"/>
                <w:sz w:val="20"/>
                <w:szCs w:val="20"/>
              </w:rPr>
              <w:t xml:space="preserve">“Cohort 36 (April 2026)” and dates like 2026-03-18 in the sample contacts will read as stale once you're running this later. Genericise the credit line and refresh the sample dates each time you reuse the folder.</w:t>
            </w:r>
          </w:p>
        </w:tc>
      </w:tr>
      <w:tr>
        <w:tc>
          <w:tcPr>
            <w:tcW w:type="dxa" w:w="1300"/>
            <w:shd w:fill="F4F1EA" w:val="clear"/>
            <w:tcMar>
              <w:top w:type="dxa" w:w="100"/>
              <w:left w:type="dxa" w:w="120"/>
              <w:bottom w:type="dxa" w:w="100"/>
              <w:right w:type="dxa" w:w="120"/>
            </w:tcMar>
          </w:tcPr>
          <w:p>
            <w:r>
              <w:rPr>
                <w:b/>
                <w:bCs/>
                <w:caps/>
                <w:color w:val="3A6B35"/>
                <w:sz w:val="19"/>
                <w:szCs w:val="19"/>
              </w:rPr>
              <w:t xml:space="preserve">Optional</w:t>
            </w:r>
          </w:p>
        </w:tc>
        <w:tc>
          <w:tcPr>
            <w:tcW w:type="dxa" w:w="2500"/>
            <w:tcMar>
              <w:top w:type="dxa" w:w="100"/>
              <w:left w:type="dxa" w:w="120"/>
              <w:bottom w:type="dxa" w:w="100"/>
              <w:right w:type="dxa" w:w="120"/>
            </w:tcMar>
          </w:tcPr>
          <w:p>
            <w:r>
              <w:rPr>
                <w:b w:val="false"/>
                <w:bCs w:val="false"/>
                <w:sz w:val="20"/>
                <w:szCs w:val="20"/>
              </w:rPr>
              <w:t xml:space="preserve">scenarios/chaos-folder/*, contact CSVs</w:t>
            </w:r>
          </w:p>
        </w:tc>
        <w:tc>
          <w:tcPr>
            <w:tcW w:type="dxa" w:w="6000"/>
            <w:tcMar>
              <w:top w:type="dxa" w:w="100"/>
              <w:left w:type="dxa" w:w="120"/>
              <w:bottom w:type="dxa" w:w="100"/>
              <w:right w:type="dxa" w:w="120"/>
            </w:tcMar>
          </w:tcPr>
          <w:p>
            <w:r>
              <w:rPr>
                <w:b w:val="false"/>
                <w:bCs w:val="false"/>
                <w:sz w:val="20"/>
                <w:szCs w:val="20"/>
              </w:rPr>
              <w:t xml:space="preserve">Not broken — still generic, usable fictional data. But the Customisation Guide itself recommends refreshing scenario content periodically so it doesn't feel recycled to repeat attendees or mentors in the room.</w:t>
            </w:r>
          </w:p>
        </w:tc>
      </w:tr>
    </w:tbl>
    <w:p>
      <w:pPr>
        <w:pStyle w:val="Heading1"/>
        <w:pBdr>
          <w:bottom w:val="single" w:color="9C6F1E" w:sz="8" w:space="4"/>
        </w:pBdr>
        <w:spacing w:after="160" w:before="360"/>
      </w:pPr>
      <w:r>
        <w:rPr>
          <w:b/>
          <w:bCs/>
          <w:color w:val="1F1F1F"/>
          <w:sz w:val="30"/>
          <w:szCs w:val="30"/>
        </w:rPr>
        <w:t xml:space="preserve">3. The One Real Decision: Lesson 4's Investor</w:t>
      </w:r>
    </w:p>
    <w:p>
      <w:pPr>
        <w:spacing w:after="160" w:line="300"/>
      </w:pPr>
      <w:r>
        <w:rPr>
          <w:color w:val="1F1F1F"/>
          <w:sz w:val="22"/>
          <w:szCs w:val="22"/>
        </w:rPr>
        <w:t xml:space="preserve">Everything else in Section 2 is a straightforward edit. This one isn't — it changes what the graduation exercise actually is, so it's worth deciding deliberately rather than patching around it.</w:t>
      </w:r>
    </w:p>
    <w:p>
      <w:pPr>
        <w:spacing w:after="60" w:before="160"/>
      </w:pPr>
      <w:r>
        <w:rPr>
          <w:b/>
          <w:bCs/>
          <w:color w:val="1F1F1F"/>
          <w:sz w:val="22"/>
          <w:szCs w:val="22"/>
        </w:rPr>
        <w:t xml:space="preserve">Option A — Line up a real, consenting investor each time</w:t>
      </w:r>
    </w:p>
    <w:p>
      <w:pPr>
        <w:spacing w:after="160" w:line="300"/>
      </w:pPr>
      <w:r>
        <w:rPr>
          <w:color w:val="1F1F1F"/>
          <w:sz w:val="22"/>
          <w:szCs w:val="22"/>
        </w:rPr>
        <w:t xml:space="preserve">Keep the format exactly as designed: a real investor is in the room, founders research and pitch them for real. Requires you (or Genesis staff) to secure someone who is (a) actually attending, and (b) genuinely willing to receive a real inbox of cold pitches from every founder in the cohort, every time you run this. Highest payoff for founders — also the highest coordination cost for you.</w:t>
      </w:r>
    </w:p>
    <w:p>
      <w:pPr>
        <w:spacing w:after="60" w:before="160"/>
      </w:pPr>
      <w:r>
        <w:rPr>
          <w:b/>
          <w:bCs/>
          <w:color w:val="1F1F1F"/>
          <w:sz w:val="22"/>
          <w:szCs w:val="22"/>
        </w:rPr>
        <w:t xml:space="preserve">Option B — Redesign as draft-only by default</w:t>
      </w:r>
    </w:p>
    <w:p>
      <w:pPr>
        <w:spacing w:after="160" w:line="300"/>
      </w:pPr>
      <w:r>
        <w:rPr>
          <w:color w:val="1F1F1F"/>
          <w:sz w:val="22"/>
          <w:szCs w:val="22"/>
        </w:rPr>
        <w:t xml:space="preserve">Founders research a real investor and draft a real, personalised email — but the default action is “save as a Gmail draft or file,” not send. Sending becomes an opt-in the founder chooses for themselves, aimed at an investor they already have a genuine reason to contact. Removes the dependency on a live volunteer being in the room; loses some of the current version's dramatic “graduation” payoff.</w:t>
      </w:r>
    </w:p>
    <w:p>
      <w:pPr>
        <w:spacing w:after="60" w:before="160"/>
      </w:pPr>
      <w:r>
        <w:rPr>
          <w:b/>
          <w:bCs/>
          <w:color w:val="1F1F1F"/>
          <w:sz w:val="22"/>
          <w:szCs w:val="22"/>
        </w:rPr>
        <w:t xml:space="preserve">Option C — Address it to an opted-in mentor or staff contact</w:t>
      </w:r>
    </w:p>
    <w:p>
      <w:pPr>
        <w:spacing w:after="160" w:line="300"/>
      </w:pPr>
      <w:r>
        <w:rPr>
          <w:color w:val="1F1F1F"/>
          <w:sz w:val="22"/>
          <w:szCs w:val="22"/>
        </w:rPr>
        <w:t xml:space="preserve">Replace the investor with a Genesis mentor or staff member who has explicitly agreed to be the practice target for every cohort. Keeps the “real person, real send” structure and the live-feedback moment, without depending on an external VC's ongoing goodwill.</w:t>
      </w:r>
    </w:p>
    <w:p>
      <w:pPr>
        <w:spacing w:after="160" w:line="300"/>
      </w:pPr>
      <w:r>
        <w:rPr>
          <w:color w:val="1F1F1F"/>
          <w:sz w:val="22"/>
          <w:szCs w:val="22"/>
        </w:rPr>
        <w:t xml:space="preserve">Whichever option you pick, the fictional contact-list data used in Lesson 2 (the “planted” real person among fictional contacts, with notes written to set up the Lesson 4 pitch) needs to be updated to match — see the Important-priority row in Section 2.</w:t>
      </w:r>
    </w:p>
    <w:p>
      <w:pPr>
        <w:pStyle w:val="Heading1"/>
        <w:pBdr>
          <w:bottom w:val="single" w:color="9C6F1E" w:sz="8" w:space="4"/>
        </w:pBdr>
        <w:spacing w:after="160" w:before="360"/>
      </w:pPr>
      <w:r>
        <w:rPr>
          <w:b/>
          <w:bCs/>
          <w:color w:val="1F1F1F"/>
          <w:sz w:val="30"/>
          <w:szCs w:val="30"/>
        </w:rPr>
        <w:t xml:space="preserve">4. Skills You Need to Deliver It Yourself</w:t>
      </w:r>
    </w:p>
    <w:p>
      <w:pPr>
        <w:pStyle w:val="Heading2"/>
        <w:spacing w:after="120" w:before="280"/>
      </w:pPr>
      <w:r>
        <w:rPr>
          <w:b/>
          <w:bCs/>
          <w:color w:val="9C6F1E"/>
          <w:sz w:val="24"/>
          <w:szCs w:val="24"/>
        </w:rPr>
        <w:t xml:space="preserve">Facilitation, not teaching</w:t>
      </w:r>
    </w:p>
    <w:p>
      <w:pPr>
        <w:spacing w:after="160" w:line="300"/>
      </w:pPr>
      <w:r>
        <w:rPr>
          <w:color w:val="1F1F1F"/>
          <w:sz w:val="22"/>
          <w:szCs w:val="22"/>
        </w:rPr>
        <w:t xml:space="preserve">Claude runs the actual lesson content — your live role is closer to a workshop producer: set expectations at the start, walk the room to unstick people (wrong folder selected, connector not enabling, can't find a menu), keep pace, and own the wrap-up. Do a full solo run-through of all four lessons yourself first so you've personally hit every WAIT beat before a room of founders does.</w:t>
      </w:r>
    </w:p>
    <w:p>
      <w:pPr>
        <w:pStyle w:val="Heading2"/>
        <w:spacing w:after="120" w:before="280"/>
      </w:pPr>
      <w:r>
        <w:rPr>
          <w:b/>
          <w:bCs/>
          <w:color w:val="9C6F1E"/>
          <w:sz w:val="24"/>
          <w:szCs w:val="24"/>
        </w:rPr>
        <w:t xml:space="preserve">Comfortable, non-technical markdown editing</w:t>
      </w:r>
    </w:p>
    <w:p>
      <w:pPr>
        <w:spacing w:after="160" w:line="300"/>
      </w:pPr>
      <w:r>
        <w:rPr>
          <w:color w:val="1F1F1F"/>
          <w:sz w:val="22"/>
          <w:szCs w:val="22"/>
        </w:rPr>
        <w:t xml:space="preserve">The whole course is plain markdown with a specific convention (YAML frontmatter, WAIT/ACTION/SAY/USER markers). A text editor is enough — no coding. Read CUSTOMISATION-GUIDE.md before editing anything: it flags what not to touch (the WAIT markers, the “worker not chatbot” framing, the “describe the outcome” coaching in Lesson 2, the five-part skill template) so customising doesn't quietly break the pedagogy.</w:t>
      </w:r>
    </w:p>
    <w:p>
      <w:pPr>
        <w:pStyle w:val="Heading2"/>
        <w:spacing w:after="120" w:before="280"/>
      </w:pPr>
      <w:r>
        <w:rPr>
          <w:b/>
          <w:bCs/>
          <w:color w:val="9C6F1E"/>
          <w:sz w:val="24"/>
          <w:szCs w:val="24"/>
        </w:rPr>
        <w:t xml:space="preserve">Judgement, for the Lesson 4 decision</w:t>
      </w:r>
    </w:p>
    <w:p>
      <w:pPr>
        <w:spacing w:after="160" w:line="300"/>
      </w:pPr>
      <w:r>
        <w:rPr>
          <w:color w:val="1F1F1F"/>
          <w:sz w:val="22"/>
          <w:szCs w:val="22"/>
        </w:rPr>
        <w:t xml:space="preserve">This is the one place editing isn't enough — it needs a call (Section 3) and, depending which option you pick, some coordination with Genesis staff or a mentor to line up a consenting real contact.</w:t>
      </w:r>
    </w:p>
    <w:p>
      <w:pPr>
        <w:pStyle w:val="Heading2"/>
        <w:spacing w:after="120" w:before="280"/>
      </w:pPr>
      <w:r>
        <w:rPr>
          <w:b/>
          <w:bCs/>
          <w:color w:val="9C6F1E"/>
          <w:sz w:val="24"/>
          <w:szCs w:val="24"/>
        </w:rPr>
        <w:t xml:space="preserve">Light data-design sense, if you refresh the CSVs</w:t>
      </w:r>
    </w:p>
    <w:p>
      <w:pPr>
        <w:spacing w:after="160" w:line="300"/>
      </w:pPr>
      <w:r>
        <w:rPr>
          <w:color w:val="1F1F1F"/>
          <w:sz w:val="22"/>
          <w:szCs w:val="22"/>
        </w:rPr>
        <w:t xml:space="preserve">If you rewrite the contact-list scenario files, preserve the properties that make the exercise work: different column formats between the two files, some genuinely overlapping duplicate people, and a few conflicting details that are resolvable using context clues in the notes. CUSTOMISATION-GUIDE.md spells this out.</w:t>
      </w:r>
    </w:p>
    <w:p>
      <w:pPr>
        <w:pStyle w:val="Heading2"/>
        <w:spacing w:after="120" w:before="280"/>
      </w:pPr>
      <w:r>
        <w:rPr>
          <w:b/>
          <w:bCs/>
          <w:color w:val="9C6F1E"/>
          <w:sz w:val="24"/>
          <w:szCs w:val="24"/>
        </w:rPr>
        <w:t xml:space="preserve">Basic fluency with Cowork's current UI</w:t>
      </w:r>
    </w:p>
    <w:p>
      <w:pPr>
        <w:spacing w:after="160" w:line="300"/>
      </w:pPr>
      <w:r>
        <w:rPr>
          <w:color w:val="1F1F1F"/>
          <w:sz w:val="22"/>
          <w:szCs w:val="22"/>
        </w:rPr>
        <w:t xml:space="preserve">Enough to confirm, before a live session, that Connectors and the Skills library (Customise &gt; Skills &gt; Add skill) still work the way the course describes — so you're not discovering a moved button in front of a room.</w:t>
      </w:r>
    </w:p>
    <w:p>
      <w:pPr>
        <w:pStyle w:val="Heading1"/>
        <w:pBdr>
          <w:bottom w:val="single" w:color="9C6F1E" w:sz="8" w:space="4"/>
        </w:pBdr>
        <w:spacing w:after="160" w:before="360"/>
      </w:pPr>
      <w:r>
        <w:rPr>
          <w:b/>
          <w:bCs/>
          <w:color w:val="1F1F1F"/>
          <w:sz w:val="30"/>
          <w:szCs w:val="30"/>
        </w:rPr>
        <w:t xml:space="preserve">5. How To Actually Run the Script</w:t>
      </w:r>
    </w:p>
    <w:p>
      <w:pPr>
        <w:spacing w:after="160" w:line="300"/>
      </w:pPr>
      <w:r>
        <w:rPr>
          <w:color w:val="1F1F1F"/>
          <w:sz w:val="22"/>
          <w:szCs w:val="22"/>
        </w:rPr>
        <w:t xml:space="preserve">The course isn't something you “trigger” with a command — it's a folder of instructions that Cowork reads and follows when you point it there. Here's the flow, from prep to live session.</w:t>
      </w:r>
    </w:p>
    <w:p>
      <w:pPr>
        <w:pStyle w:val="Heading2"/>
        <w:spacing w:after="120" w:before="280"/>
      </w:pPr>
      <w:r>
        <w:rPr>
          <w:b/>
          <w:bCs/>
          <w:color w:val="9C6F1E"/>
          <w:sz w:val="24"/>
          <w:szCs w:val="24"/>
        </w:rPr>
        <w:t xml:space="preserve">Before the session</w:t>
      </w:r>
    </w:p>
    <w:p>
      <w:pPr>
        <w:pStyle w:val="ListParagraph"/>
        <w:numPr>
          <w:ilvl w:val="0"/>
          <w:numId w:val="2"/>
        </w:numPr>
        <w:spacing w:after="100" w:line="290"/>
      </w:pPr>
      <w:r>
        <w:rPr>
          <w:color w:val="1F1F1F"/>
          <w:sz w:val="22"/>
          <w:szCs w:val="22"/>
        </w:rPr>
        <w:t xml:space="preserve">Give every attendee their own copy of the folder. Cowork writes into it during the course (creates demo-mess/, the merged CSV, the skill file, the pitch email) — one shared folder for multiple people will collide.</w:t>
      </w:r>
    </w:p>
    <w:p>
      <w:pPr>
        <w:pStyle w:val="ListParagraph"/>
        <w:numPr>
          <w:ilvl w:val="0"/>
          <w:numId w:val="2"/>
        </w:numPr>
        <w:spacing w:after="100" w:line="290"/>
      </w:pPr>
      <w:r>
        <w:rPr>
          <w:color w:val="1F1F1F"/>
          <w:sz w:val="22"/>
          <w:szCs w:val="22"/>
        </w:rPr>
        <w:t xml:space="preserve">Make your Section 2 / Section 3 edits on your master copy first, then duplicate that master for each attendee.</w:t>
      </w:r>
    </w:p>
    <w:p>
      <w:pPr>
        <w:pStyle w:val="ListParagraph"/>
        <w:numPr>
          <w:ilvl w:val="0"/>
          <w:numId w:val="2"/>
        </w:numPr>
        <w:spacing w:after="100" w:line="290"/>
      </w:pPr>
      <w:r>
        <w:rPr>
          <w:color w:val="1F1F1F"/>
          <w:sz w:val="22"/>
          <w:szCs w:val="22"/>
        </w:rPr>
        <w:t xml:space="preserve">Confirm each attendee has: the Claude desktop app with Cowork mode, and (optional but recommended for Lesson 4) the Gmail connector enabled — Settings &gt; Connectors.</w:t>
      </w:r>
    </w:p>
    <w:p>
      <w:pPr>
        <w:pStyle w:val="ListParagraph"/>
        <w:numPr>
          <w:ilvl w:val="0"/>
          <w:numId w:val="2"/>
        </w:numPr>
        <w:spacing w:after="100" w:line="290"/>
      </w:pPr>
      <w:r>
        <w:rPr>
          <w:color w:val="1F1F1F"/>
          <w:sz w:val="22"/>
          <w:szCs w:val="22"/>
        </w:rPr>
        <w:t xml:space="preserve">Do your own solo dry run end-to-end so you've personally seen all four lessons play out on your edited version.</w:t>
      </w:r>
    </w:p>
    <w:p>
      <w:pPr>
        <w:pStyle w:val="Heading2"/>
        <w:spacing w:after="120" w:before="280"/>
      </w:pPr>
      <w:r>
        <w:rPr>
          <w:b/>
          <w:bCs/>
          <w:color w:val="9C6F1E"/>
          <w:sz w:val="24"/>
          <w:szCs w:val="24"/>
        </w:rPr>
        <w:t xml:space="preserve">On the day, per attendee</w:t>
      </w:r>
    </w:p>
    <w:p>
      <w:pPr>
        <w:pStyle w:val="ListParagraph"/>
        <w:numPr>
          <w:ilvl w:val="0"/>
          <w:numId w:val="2"/>
        </w:numPr>
        <w:spacing w:after="100" w:line="290"/>
      </w:pPr>
      <w:r>
        <w:rPr>
          <w:color w:val="1F1F1F"/>
          <w:sz w:val="22"/>
          <w:szCs w:val="22"/>
        </w:rPr>
        <w:t xml:space="preserve">They open the Claude desktop app and select the course folder as the working directory for a Cowork session.</w:t>
      </w:r>
    </w:p>
    <w:p>
      <w:pPr>
        <w:pStyle w:val="ListParagraph"/>
        <w:numPr>
          <w:ilvl w:val="0"/>
          <w:numId w:val="2"/>
        </w:numPr>
        <w:spacing w:after="100" w:line="290"/>
      </w:pPr>
      <w:r>
        <w:rPr>
          <w:color w:val="1F1F1F"/>
          <w:sz w:val="22"/>
          <w:szCs w:val="22"/>
        </w:rPr>
        <w:t xml:space="preserve">They say: “Read the START-HERE.md and start lesson 1.” (Just “start” or “lesson 1” also works once Cowork has the folder open — START-HERE.md tells it what to do with either.)</w:t>
      </w:r>
    </w:p>
    <w:p>
      <w:pPr>
        <w:pStyle w:val="ListParagraph"/>
        <w:numPr>
          <w:ilvl w:val="0"/>
          <w:numId w:val="2"/>
        </w:numPr>
        <w:spacing w:after="100" w:line="290"/>
      </w:pPr>
      <w:r>
        <w:rPr>
          <w:color w:val="1F1F1F"/>
          <w:sz w:val="22"/>
          <w:szCs w:val="22"/>
        </w:rPr>
        <w:t xml:space="preserve">Cowork takes it from there — asking for their name and startup, then teaching interactively, waiting for real responses at each WAIT point.</w:t>
      </w:r>
    </w:p>
    <w:p>
      <w:pPr>
        <w:pStyle w:val="ListParagraph"/>
        <w:numPr>
          <w:ilvl w:val="0"/>
          <w:numId w:val="2"/>
        </w:numPr>
        <w:spacing w:after="100" w:line="290"/>
      </w:pPr>
      <w:r>
        <w:rPr>
          <w:color w:val="1F1F1F"/>
          <w:sz w:val="22"/>
          <w:szCs w:val="22"/>
        </w:rPr>
        <w:t xml:space="preserve">They can jump around with “lesson [number]” or move forward with “next lesson” at the end of each one.</w:t>
      </w:r>
    </w:p>
    <w:p>
      <w:pPr>
        <w:pStyle w:val="Heading2"/>
        <w:spacing w:after="120" w:before="280"/>
      </w:pPr>
      <w:r>
        <w:rPr>
          <w:b/>
          <w:bCs/>
          <w:color w:val="9C6F1E"/>
          <w:sz w:val="24"/>
          <w:szCs w:val="24"/>
        </w:rPr>
        <w:t xml:space="preserve">Your job while it runs</w:t>
      </w:r>
    </w:p>
    <w:p>
      <w:pPr>
        <w:pStyle w:val="ListParagraph"/>
        <w:numPr>
          <w:ilvl w:val="0"/>
          <w:numId w:val="3"/>
        </w:numPr>
        <w:spacing w:after="90" w:line="290"/>
      </w:pPr>
      <w:r>
        <w:rPr>
          <w:color w:val="1F1F1F"/>
          <w:sz w:val="22"/>
          <w:szCs w:val="22"/>
        </w:rPr>
        <w:t xml:space="preserve">Don't pre-explain the course — point people at the folder and let it introduce itself.</w:t>
      </w:r>
    </w:p>
    <w:p>
      <w:pPr>
        <w:pStyle w:val="ListParagraph"/>
        <w:numPr>
          <w:ilvl w:val="0"/>
          <w:numId w:val="3"/>
        </w:numPr>
        <w:spacing w:after="90" w:line="290"/>
      </w:pPr>
      <w:r>
        <w:rPr>
          <w:color w:val="1F1F1F"/>
          <w:sz w:val="22"/>
          <w:szCs w:val="22"/>
        </w:rPr>
        <w:t xml:space="preserve">Let people go at their own pace; 50–90 minutes is a normal range.</w:t>
      </w:r>
    </w:p>
    <w:p>
      <w:pPr>
        <w:pStyle w:val="ListParagraph"/>
        <w:numPr>
          <w:ilvl w:val="0"/>
          <w:numId w:val="3"/>
        </w:numPr>
        <w:spacing w:after="90" w:line="290"/>
      </w:pPr>
      <w:r>
        <w:rPr>
          <w:color w:val="1F1F1F"/>
          <w:sz w:val="22"/>
          <w:szCs w:val="22"/>
        </w:rPr>
        <w:t xml:space="preserve">Watch for anyone stuck on app mechanics (folder selection, connector permissions, finding the Skills menu) — that's the failure mode Cowork itself can't fix for them.</w:t>
      </w:r>
    </w:p>
    <w:p>
      <w:pPr>
        <w:pStyle w:val="ListParagraph"/>
        <w:numPr>
          <w:ilvl w:val="0"/>
          <w:numId w:val="3"/>
        </w:numPr>
        <w:spacing w:after="90" w:line="290"/>
      </w:pPr>
      <w:r>
        <w:rPr>
          <w:color w:val="1F1F1F"/>
          <w:sz w:val="22"/>
          <w:szCs w:val="22"/>
        </w:rPr>
        <w:t xml:space="preserve">If you've kept Lesson 4's real-send option live, keep an eye on the inbox it's aimed at — the incoming pitch emails are a nice moment to reference in your wrap-up.</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2026-08-22T23:04:20.985Z</dcterms:created>
  <dcterms:modified xsi:type="dcterms:W3CDTF">2026-08-22T23:04:21.005Z</dcterms:modified>
</cp:coreProperties>
</file>

<file path=docProps/custom.xml><?xml version="1.0" encoding="utf-8"?>
<Properties xmlns="http://schemas.openxmlformats.org/officeDocument/2006/custom-properties" xmlns:vt="http://schemas.openxmlformats.org/officeDocument/2006/docPropsVTypes"/>
</file>