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Мишонков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с использованием подпрограмм, знакомство с методами откладки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Научиться писать программы с использованием подпрограмм, ознакомиться с методами откладки при помощи GDB и его основными возможностями.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Откладка</w:t>
      </w:r>
      <w:r>
        <w:t xml:space="preserve"> </w:t>
      </w:r>
      <w:r>
        <w:t xml:space="preserve">- это процесс поиска и исправления ошибок в программе (обнаружение ошибки, поиск её местонахождения, определение причины ошибки, исправление ошибки)</w:t>
      </w:r>
    </w:p>
    <w:p>
      <w:pPr>
        <w:pStyle w:val="BodyText"/>
      </w:pPr>
      <w:r>
        <w:rPr>
          <w:bCs/>
          <w:b/>
        </w:rPr>
        <w:t xml:space="preserve">Точки останова</w:t>
      </w:r>
      <w:r>
        <w:t xml:space="preserve"> </w:t>
      </w:r>
      <w:r>
        <w:t xml:space="preserve">- это специально отмеченные места в программе, в которых программа-откладчик приостанавливает выполнение программы и ждёт команд.</w:t>
      </w:r>
    </w:p>
    <w:p>
      <w:pPr>
        <w:pStyle w:val="BodyText"/>
      </w:pPr>
      <w:r>
        <w:t xml:space="preserve">Откладчик GDB позволяет увидеть, что происходит</w:t>
      </w:r>
      <w:r>
        <w:t xml:space="preserve"> </w:t>
      </w:r>
      <w:r>
        <w:t xml:space="preserve">“</w:t>
      </w:r>
      <w:r>
        <w:t xml:space="preserve">внутри</w:t>
      </w:r>
      <w:r>
        <w:t xml:space="preserve">”</w:t>
      </w:r>
      <w:r>
        <w:t xml:space="preserve"> </w:t>
      </w:r>
      <w:r>
        <w:t xml:space="preserve">программы в момент её выполнения и что делает программа в момент сбоя. GDB может начать выполнение программы, задав всё, что может повлиять на её поведение; остановить программу при указанных условиях; исследовать, что случилось, когда программа остановилась; 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BodyText"/>
      </w:pPr>
      <w:r>
        <w:rPr>
          <w:bCs/>
          <w:b/>
        </w:rPr>
        <w:t xml:space="preserve">Подпрограмма</w:t>
      </w:r>
      <w:r>
        <w:t xml:space="preserve"> </w:t>
      </w:r>
      <w:r>
        <w:t xml:space="preserve">- это, как правило, функционально законченный участок кода, который можно многократно вызывать из разных мест программы.</w:t>
      </w:r>
    </w:p>
    <w:p>
      <w:pPr>
        <w:pStyle w:val="BodyText"/>
      </w:pPr>
      <w:r>
        <w:t xml:space="preserve">Если в подпрограмме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применяется инструкция call, которая заносит адрес следующей инструкции в стек и загружает в регистр eip адрес соответствующей подпрограммы. Завершается подпрограмма инструкцикй ret, которая извлекает из стека адрес, занесённый туда соответствующей инструкцией call, и заносит его в eip.</w:t>
      </w:r>
    </w:p>
    <w:bookmarkEnd w:id="22"/>
    <w:bookmarkStart w:id="16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каталог для выполнения лабораторной работы №10, перешёл в него и создал файл lab10-1.asm. (рис. 1)</w:t>
      </w:r>
    </w:p>
    <w:p>
      <w:pPr>
        <w:pStyle w:val="CaptionedFigure"/>
      </w:pPr>
      <w:bookmarkStart w:id="26" w:name="fig:001"/>
      <w:r>
        <w:drawing>
          <wp:inline>
            <wp:extent cx="5334000" cy="2231428"/>
            <wp:effectExtent b="0" l="0" r="0" t="0"/>
            <wp:docPr descr="Рис. 1: 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каталога и файла</w:t>
      </w:r>
    </w:p>
    <w:p>
      <w:pPr>
        <w:numPr>
          <w:ilvl w:val="0"/>
          <w:numId w:val="1002"/>
        </w:numPr>
        <w:pStyle w:val="Compact"/>
      </w:pPr>
      <w:r>
        <w:t xml:space="preserve">Ввёл в файл lab10-1.asm текст программы из листинга 10.1. (рис. 2)</w:t>
      </w:r>
    </w:p>
    <w:p>
      <w:pPr>
        <w:pStyle w:val="CaptionedFigure"/>
      </w:pPr>
      <w:bookmarkStart w:id="30" w:name="fig:002"/>
      <w:r>
        <w:drawing>
          <wp:inline>
            <wp:extent cx="5334000" cy="5537000"/>
            <wp:effectExtent b="0" l="0" r="0" t="0"/>
            <wp:docPr descr="Рис. 2: Введение текста программы" title="" id="28" name="Picture"/>
            <a:graphic>
              <a:graphicData uri="http://schemas.openxmlformats.org/drawingml/2006/picture">
                <pic:pic>
                  <pic:nvPicPr>
                    <pic:cNvPr descr="image/Рис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Введение текста программы</w:t>
      </w:r>
    </w:p>
    <w:p>
      <w:pPr>
        <w:numPr>
          <w:ilvl w:val="0"/>
          <w:numId w:val="1003"/>
        </w:numPr>
        <w:pStyle w:val="Compact"/>
      </w:pPr>
      <w:r>
        <w:t xml:space="preserve">Создал исполняемый файл и проверил его работу. (рис. 3)</w:t>
      </w:r>
    </w:p>
    <w:p>
      <w:pPr>
        <w:pStyle w:val="CaptionedFigure"/>
      </w:pPr>
      <w:bookmarkStart w:id="34" w:name="fig:003"/>
      <w:r>
        <w:drawing>
          <wp:inline>
            <wp:extent cx="5334000" cy="906537"/>
            <wp:effectExtent b="0" l="0" r="0" t="0"/>
            <wp:docPr descr="Рис. 3: Проверка работы исполняемого файла" title="" id="32" name="Picture"/>
            <a:graphic>
              <a:graphicData uri="http://schemas.openxmlformats.org/drawingml/2006/picture">
                <pic:pic>
                  <pic:nvPicPr>
                    <pic:cNvPr descr="image/Рис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Проверка работы исполняемого файла</w:t>
      </w:r>
    </w:p>
    <w:p>
      <w:pPr>
        <w:numPr>
          <w:ilvl w:val="0"/>
          <w:numId w:val="1004"/>
        </w:numPr>
        <w:pStyle w:val="Compact"/>
      </w:pPr>
      <w:r>
        <w:t xml:space="preserve">Изменил текст программы, добавив подпрограмму _subcalcul в подпрограмму _calcul, для вычисления выражения f(g(x)), где x вводится с клавиатуры, f(x)=2x+7, g(x)=3x-1. Проверил работу исполняемого файла. (рис. 4, 5, 6)</w:t>
      </w:r>
    </w:p>
    <w:p>
      <w:pPr>
        <w:pStyle w:val="CaptionedFigure"/>
      </w:pPr>
      <w:bookmarkStart w:id="38" w:name="fig:004"/>
      <w:r>
        <w:drawing>
          <wp:inline>
            <wp:extent cx="5334000" cy="5431871"/>
            <wp:effectExtent b="0" l="0" r="0" t="0"/>
            <wp:docPr descr="Рис. 4: Изменение текста программы" title="" id="36" name="Picture"/>
            <a:graphic>
              <a:graphicData uri="http://schemas.openxmlformats.org/drawingml/2006/picture">
                <pic:pic>
                  <pic:nvPicPr>
                    <pic:cNvPr descr="image/Рис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Изменение текста программы</w:t>
      </w:r>
    </w:p>
    <w:p>
      <w:pPr>
        <w:pStyle w:val="CaptionedFigure"/>
      </w:pPr>
      <w:bookmarkStart w:id="42" w:name="fig:005"/>
      <w:r>
        <w:drawing>
          <wp:inline>
            <wp:extent cx="4406900" cy="7772400"/>
            <wp:effectExtent b="0" l="0" r="0" t="0"/>
            <wp:docPr descr="Рис. 5: Изменение текста программы" title="" id="40" name="Picture"/>
            <a:graphic>
              <a:graphicData uri="http://schemas.openxmlformats.org/drawingml/2006/picture">
                <pic:pic>
                  <pic:nvPicPr>
                    <pic:cNvPr descr="image/Рис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Изменение текста программы</w:t>
      </w:r>
    </w:p>
    <w:p>
      <w:pPr>
        <w:pStyle w:val="CaptionedFigure"/>
      </w:pPr>
      <w:bookmarkStart w:id="46" w:name="fig:006"/>
      <w:r>
        <w:drawing>
          <wp:inline>
            <wp:extent cx="5334000" cy="1313356"/>
            <wp:effectExtent b="0" l="0" r="0" t="0"/>
            <wp:docPr descr="Рис. 6: Проверка работы исполняемого файла" title="" id="44" name="Picture"/>
            <a:graphic>
              <a:graphicData uri="http://schemas.openxmlformats.org/drawingml/2006/picture">
                <pic:pic>
                  <pic:nvPicPr>
                    <pic:cNvPr descr="image/Рис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3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Проверка работы исполняемого файла</w:t>
      </w:r>
    </w:p>
    <w:p>
      <w:pPr>
        <w:numPr>
          <w:ilvl w:val="0"/>
          <w:numId w:val="1005"/>
        </w:numPr>
        <w:pStyle w:val="Compact"/>
      </w:pPr>
      <w:r>
        <w:t xml:space="preserve">Создал файл lab10-2.asm. (рис. 7)</w:t>
      </w:r>
    </w:p>
    <w:p>
      <w:pPr>
        <w:pStyle w:val="CaptionedFigure"/>
      </w:pPr>
      <w:bookmarkStart w:id="50" w:name="fig:007"/>
      <w:r>
        <w:drawing>
          <wp:inline>
            <wp:extent cx="5334000" cy="1618593"/>
            <wp:effectExtent b="0" l="0" r="0" t="0"/>
            <wp:docPr descr="Рис. 7: Создание файла" title="" id="48" name="Picture"/>
            <a:graphic>
              <a:graphicData uri="http://schemas.openxmlformats.org/drawingml/2006/picture">
                <pic:pic>
                  <pic:nvPicPr>
                    <pic:cNvPr descr="image/Рис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8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Создание файла</w:t>
      </w:r>
    </w:p>
    <w:p>
      <w:pPr>
        <w:numPr>
          <w:ilvl w:val="0"/>
          <w:numId w:val="1006"/>
        </w:numPr>
        <w:pStyle w:val="Compact"/>
      </w:pPr>
      <w:r>
        <w:t xml:space="preserve">Ввёл в файл lab10-2.asm текст программы из листинга 10.2. (рис. 8)</w:t>
      </w:r>
    </w:p>
    <w:p>
      <w:pPr>
        <w:pStyle w:val="CaptionedFigure"/>
      </w:pPr>
      <w:bookmarkStart w:id="54" w:name="fig:008"/>
      <w:r>
        <w:drawing>
          <wp:inline>
            <wp:extent cx="5334000" cy="3893889"/>
            <wp:effectExtent b="0" l="0" r="0" t="0"/>
            <wp:docPr descr="Рис. 8: Введение текста программы" title="" id="52" name="Picture"/>
            <a:graphic>
              <a:graphicData uri="http://schemas.openxmlformats.org/drawingml/2006/picture">
                <pic:pic>
                  <pic:nvPicPr>
                    <pic:cNvPr descr="image/Рис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Введение текста программы</w:t>
      </w:r>
    </w:p>
    <w:p>
      <w:pPr>
        <w:numPr>
          <w:ilvl w:val="0"/>
          <w:numId w:val="1007"/>
        </w:numPr>
        <w:pStyle w:val="Compact"/>
      </w:pPr>
      <w:r>
        <w:t xml:space="preserve">Получил исполняемый файл. Для работы с GDB в исполняемый файл добавил отладочную информацию, проведя трансляцию программ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Загрузил исполняемый файл в отладчик gdb. Проверил работу программы, запустив её в оболочке GDB с помощью команды run. (рис. 9)</w:t>
      </w:r>
    </w:p>
    <w:p>
      <w:pPr>
        <w:pStyle w:val="CaptionedFigure"/>
      </w:pPr>
      <w:bookmarkStart w:id="58" w:name="fig:009"/>
      <w:r>
        <w:drawing>
          <wp:inline>
            <wp:extent cx="5334000" cy="1967683"/>
            <wp:effectExtent b="0" l="0" r="0" t="0"/>
            <wp:docPr descr="Рис. 9: Проверка работы исполняемого файла" title="" id="56" name="Picture"/>
            <a:graphic>
              <a:graphicData uri="http://schemas.openxmlformats.org/drawingml/2006/picture">
                <pic:pic>
                  <pic:nvPicPr>
                    <pic:cNvPr descr="image/Рис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Проверка работы исполняемого файла</w:t>
      </w:r>
    </w:p>
    <w:p>
      <w:pPr>
        <w:numPr>
          <w:ilvl w:val="0"/>
          <w:numId w:val="1008"/>
        </w:numPr>
        <w:pStyle w:val="Compact"/>
      </w:pPr>
      <w:r>
        <w:t xml:space="preserve">Для более подробного анализа программы установил брейкпоинт на метку _start, с которой начинается выполнение любой ассемблерной программы, и запустил её. (рис. 10)</w:t>
      </w:r>
    </w:p>
    <w:p>
      <w:pPr>
        <w:pStyle w:val="CaptionedFigure"/>
      </w:pPr>
      <w:bookmarkStart w:id="62" w:name="fig:010"/>
      <w:r>
        <w:drawing>
          <wp:inline>
            <wp:extent cx="5334000" cy="733934"/>
            <wp:effectExtent b="0" l="0" r="0" t="0"/>
            <wp:docPr descr="Рис. 10: Запуск программы" title="" id="60" name="Picture"/>
            <a:graphic>
              <a:graphicData uri="http://schemas.openxmlformats.org/drawingml/2006/picture">
                <pic:pic>
                  <pic:nvPicPr>
                    <pic:cNvPr descr="image/Рис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Запуск программы</w:t>
      </w:r>
    </w:p>
    <w:p>
      <w:pPr>
        <w:numPr>
          <w:ilvl w:val="0"/>
          <w:numId w:val="1009"/>
        </w:numPr>
        <w:pStyle w:val="Compact"/>
      </w:pPr>
      <w:r>
        <w:t xml:space="preserve">Посмотрел дисассимилированный код программы с помощью команды disassemble, начиная с метки _start. (рис. 11)</w:t>
      </w:r>
    </w:p>
    <w:p>
      <w:pPr>
        <w:pStyle w:val="CaptionedFigure"/>
      </w:pPr>
      <w:bookmarkStart w:id="66" w:name="fig:011"/>
      <w:r>
        <w:drawing>
          <wp:inline>
            <wp:extent cx="5334000" cy="3831203"/>
            <wp:effectExtent b="0" l="0" r="0" t="0"/>
            <wp:docPr descr="Рис. 11: Просмотр дисассимилированного кода программы" title="" id="64" name="Picture"/>
            <a:graphic>
              <a:graphicData uri="http://schemas.openxmlformats.org/drawingml/2006/picture">
                <pic:pic>
                  <pic:nvPicPr>
                    <pic:cNvPr descr="image/Рис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Просмотр дисассимилированного кода программы</w:t>
      </w:r>
    </w:p>
    <w:p>
      <w:pPr>
        <w:numPr>
          <w:ilvl w:val="0"/>
          <w:numId w:val="1010"/>
        </w:numPr>
        <w:pStyle w:val="Compact"/>
      </w:pPr>
      <w:r>
        <w:t xml:space="preserve">Переключился на отображение команд с Intel’овским синтаксисом, введя команду set disassembly-flavor intel. (рис. 12)</w:t>
      </w:r>
    </w:p>
    <w:p>
      <w:pPr>
        <w:pStyle w:val="CaptionedFigure"/>
      </w:pPr>
      <w:bookmarkStart w:id="70" w:name="fig:012"/>
      <w:r>
        <w:drawing>
          <wp:inline>
            <wp:extent cx="5334000" cy="3768212"/>
            <wp:effectExtent b="0" l="0" r="0" t="0"/>
            <wp:docPr descr="Рис. 12: Переключение на отображение команд с Intel’овским синтаксисом" title="" id="68" name="Picture"/>
            <a:graphic>
              <a:graphicData uri="http://schemas.openxmlformats.org/drawingml/2006/picture">
                <pic:pic>
                  <pic:nvPicPr>
                    <pic:cNvPr descr="image/Рис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Переключение на отображение команд с Intel’овским синтаксисом</w:t>
      </w:r>
    </w:p>
    <w:p>
      <w:pPr>
        <w:numPr>
          <w:ilvl w:val="0"/>
          <w:numId w:val="1011"/>
        </w:numPr>
        <w:pStyle w:val="Compact"/>
      </w:pPr>
      <w:r>
        <w:t xml:space="preserve">Включил режим псевдографики для более удобного анализа программы. (рис. 13, 14 )</w:t>
      </w:r>
    </w:p>
    <w:p>
      <w:pPr>
        <w:pStyle w:val="CaptionedFigure"/>
      </w:pPr>
      <w:bookmarkStart w:id="74" w:name="fig:013"/>
      <w:r>
        <w:drawing>
          <wp:inline>
            <wp:extent cx="5334000" cy="3810000"/>
            <wp:effectExtent b="0" l="0" r="0" t="0"/>
            <wp:docPr descr="Рис. 13: Включение режима псевдографики" title="" id="72" name="Picture"/>
            <a:graphic>
              <a:graphicData uri="http://schemas.openxmlformats.org/drawingml/2006/picture">
                <pic:pic>
                  <pic:nvPicPr>
                    <pic:cNvPr descr="image/Рис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Включение режима псевдографики</w:t>
      </w:r>
    </w:p>
    <w:p>
      <w:pPr>
        <w:pStyle w:val="CaptionedFigure"/>
      </w:pPr>
      <w:bookmarkStart w:id="78" w:name="fig:014"/>
      <w:r>
        <w:drawing>
          <wp:inline>
            <wp:extent cx="5334000" cy="2676071"/>
            <wp:effectExtent b="0" l="0" r="0" t="0"/>
            <wp:docPr descr="Рис. 14: Включение режима псевдографики" title="" id="76" name="Picture"/>
            <a:graphic>
              <a:graphicData uri="http://schemas.openxmlformats.org/drawingml/2006/picture">
                <pic:pic>
                  <pic:nvPicPr>
                    <pic:cNvPr descr="image/Рис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6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Включение режима псевдографики</w:t>
      </w:r>
    </w:p>
    <w:p>
      <w:pPr>
        <w:numPr>
          <w:ilvl w:val="0"/>
          <w:numId w:val="1012"/>
        </w:numPr>
        <w:pStyle w:val="Compact"/>
      </w:pPr>
      <w:r>
        <w:t xml:space="preserve">На предыдущих шагах была установлена точка останова по имени метки (_start). Проверил это с помощью команды info breakpoints. (рис. 15)</w:t>
      </w:r>
    </w:p>
    <w:p>
      <w:pPr>
        <w:pStyle w:val="CaptionedFigure"/>
      </w:pPr>
      <w:bookmarkStart w:id="82" w:name="fig:015"/>
      <w:r>
        <w:drawing>
          <wp:inline>
            <wp:extent cx="5334000" cy="1306099"/>
            <wp:effectExtent b="0" l="0" r="0" t="0"/>
            <wp:docPr descr="Рис. 15: Проверка точки останова по имени метки (_start))" title="" id="80" name="Picture"/>
            <a:graphic>
              <a:graphicData uri="http://schemas.openxmlformats.org/drawingml/2006/picture">
                <pic:pic>
                  <pic:nvPicPr>
                    <pic:cNvPr descr="image/Рис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6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Проверка точки останова по имени метки (_start))</w:t>
      </w:r>
    </w:p>
    <w:p>
      <w:pPr>
        <w:numPr>
          <w:ilvl w:val="0"/>
          <w:numId w:val="1013"/>
        </w:numPr>
        <w:pStyle w:val="Compact"/>
      </w:pPr>
      <w:r>
        <w:t xml:space="preserve">Установил ещё одну точку останова по адресу инструкции, определив адрес предпоследней инструкции. (рис. 16)</w:t>
      </w:r>
    </w:p>
    <w:p>
      <w:pPr>
        <w:pStyle w:val="CaptionedFigure"/>
      </w:pPr>
      <w:bookmarkStart w:id="86" w:name="fig:016"/>
      <w:r>
        <w:drawing>
          <wp:inline>
            <wp:extent cx="5334000" cy="930030"/>
            <wp:effectExtent b="0" l="0" r="0" t="0"/>
            <wp:docPr descr="Рис. 16: Установка ещё одной точки останова по адресу инструкции" title="" id="84" name="Picture"/>
            <a:graphic>
              <a:graphicData uri="http://schemas.openxmlformats.org/drawingml/2006/picture">
                <pic:pic>
                  <pic:nvPicPr>
                    <pic:cNvPr descr="image/Рис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Установка ещё одной точки останова по адресу инструкции</w:t>
      </w:r>
    </w:p>
    <w:p>
      <w:pPr>
        <w:numPr>
          <w:ilvl w:val="0"/>
          <w:numId w:val="1014"/>
        </w:numPr>
        <w:pStyle w:val="Compact"/>
      </w:pPr>
      <w:r>
        <w:t xml:space="preserve">Посмотрел информацию о всех установленных точках установа. (рис. 17)</w:t>
      </w:r>
    </w:p>
    <w:p>
      <w:pPr>
        <w:pStyle w:val="CaptionedFigure"/>
      </w:pPr>
      <w:bookmarkStart w:id="90" w:name="fig:017"/>
      <w:r>
        <w:drawing>
          <wp:inline>
            <wp:extent cx="5334000" cy="1331235"/>
            <wp:effectExtent b="0" l="0" r="0" t="0"/>
            <wp:docPr descr="Рис. 17: Просмотр информации о всех установленных точках установа" title="" id="88" name="Picture"/>
            <a:graphic>
              <a:graphicData uri="http://schemas.openxmlformats.org/drawingml/2006/picture">
                <pic:pic>
                  <pic:nvPicPr>
                    <pic:cNvPr descr="image/Рис.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1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Просмотр информации о всех установленных точках установа</w:t>
      </w:r>
    </w:p>
    <w:p>
      <w:pPr>
        <w:numPr>
          <w:ilvl w:val="0"/>
          <w:numId w:val="1015"/>
        </w:numPr>
        <w:pStyle w:val="Compact"/>
      </w:pPr>
      <w:r>
        <w:t xml:space="preserve">Посмотрел содержимое регистров с помощью команды info registers. (рис. 18, 19)</w:t>
      </w:r>
    </w:p>
    <w:p>
      <w:pPr>
        <w:pStyle w:val="CaptionedFigure"/>
      </w:pPr>
      <w:bookmarkStart w:id="94" w:name="fig:018"/>
      <w:r>
        <w:drawing>
          <wp:inline>
            <wp:extent cx="5334000" cy="1767840"/>
            <wp:effectExtent b="0" l="0" r="0" t="0"/>
            <wp:docPr descr="Рис. 18: Просмотр содержимого регистров" title="" id="92" name="Picture"/>
            <a:graphic>
              <a:graphicData uri="http://schemas.openxmlformats.org/drawingml/2006/picture">
                <pic:pic>
                  <pic:nvPicPr>
                    <pic:cNvPr descr="image/Рис.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Просмотр содержимого регистров</w:t>
      </w:r>
    </w:p>
    <w:p>
      <w:pPr>
        <w:pStyle w:val="CaptionedFigure"/>
      </w:pPr>
      <w:bookmarkStart w:id="98" w:name="fig:019"/>
      <w:r>
        <w:drawing>
          <wp:inline>
            <wp:extent cx="5334000" cy="1497541"/>
            <wp:effectExtent b="0" l="0" r="0" t="0"/>
            <wp:docPr descr="Рис. 19: Просмотр содержимого регистров" title="" id="96" name="Picture"/>
            <a:graphic>
              <a:graphicData uri="http://schemas.openxmlformats.org/drawingml/2006/picture">
                <pic:pic>
                  <pic:nvPicPr>
                    <pic:cNvPr descr="image/Рис.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Просмотр содержимого регистров</w:t>
      </w:r>
    </w:p>
    <w:p>
      <w:pPr>
        <w:numPr>
          <w:ilvl w:val="0"/>
          <w:numId w:val="1016"/>
        </w:numPr>
        <w:pStyle w:val="Compact"/>
      </w:pPr>
      <w:r>
        <w:t xml:space="preserve">Посмотрел значение переменной msg1. (рис. 20)</w:t>
      </w:r>
    </w:p>
    <w:p>
      <w:pPr>
        <w:pStyle w:val="CaptionedFigure"/>
      </w:pPr>
      <w:bookmarkStart w:id="102" w:name="fig:020"/>
      <w:r>
        <w:drawing>
          <wp:inline>
            <wp:extent cx="4902200" cy="939800"/>
            <wp:effectExtent b="0" l="0" r="0" t="0"/>
            <wp:docPr descr="Рис. 20: Значение переменной msg1" title="" id="100" name="Picture"/>
            <a:graphic>
              <a:graphicData uri="http://schemas.openxmlformats.org/drawingml/2006/picture">
                <pic:pic>
                  <pic:nvPicPr>
                    <pic:cNvPr descr="image/Рис.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Значение переменной msg1</w:t>
      </w:r>
    </w:p>
    <w:p>
      <w:pPr>
        <w:numPr>
          <w:ilvl w:val="0"/>
          <w:numId w:val="1017"/>
        </w:numPr>
        <w:pStyle w:val="Compact"/>
      </w:pPr>
      <w:r>
        <w:t xml:space="preserve">Посмотрел значение переменной msg2. (рис. 21)</w:t>
      </w:r>
    </w:p>
    <w:p>
      <w:pPr>
        <w:pStyle w:val="CaptionedFigure"/>
      </w:pPr>
      <w:bookmarkStart w:id="106" w:name="fig:021"/>
      <w:r>
        <w:drawing>
          <wp:inline>
            <wp:extent cx="4902200" cy="939800"/>
            <wp:effectExtent b="0" l="0" r="0" t="0"/>
            <wp:docPr descr="Рис. 21: Значение переменной msg2" title="" id="104" name="Picture"/>
            <a:graphic>
              <a:graphicData uri="http://schemas.openxmlformats.org/drawingml/2006/picture">
                <pic:pic>
                  <pic:nvPicPr>
                    <pic:cNvPr descr="image/Рис.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Значение переменной msg2</w:t>
      </w:r>
    </w:p>
    <w:p>
      <w:pPr>
        <w:numPr>
          <w:ilvl w:val="0"/>
          <w:numId w:val="1018"/>
        </w:numPr>
        <w:pStyle w:val="Compact"/>
      </w:pPr>
      <w:r>
        <w:t xml:space="preserve">Изменил первый символ переменной msg1. (рис. 22)</w:t>
      </w:r>
    </w:p>
    <w:p>
      <w:pPr>
        <w:pStyle w:val="CaptionedFigure"/>
      </w:pPr>
      <w:bookmarkStart w:id="110" w:name="fig:022"/>
      <w:r>
        <w:drawing>
          <wp:inline>
            <wp:extent cx="4864100" cy="1257300"/>
            <wp:effectExtent b="0" l="0" r="0" t="0"/>
            <wp:docPr descr="Рис. 22: Изменение первого символа переменной msg1" title="" id="108" name="Picture"/>
            <a:graphic>
              <a:graphicData uri="http://schemas.openxmlformats.org/drawingml/2006/picture">
                <pic:pic>
                  <pic:nvPicPr>
                    <pic:cNvPr descr="image/Рис.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Изменение первого символа переменной msg1</w:t>
      </w:r>
    </w:p>
    <w:p>
      <w:pPr>
        <w:numPr>
          <w:ilvl w:val="0"/>
          <w:numId w:val="1019"/>
        </w:numPr>
        <w:pStyle w:val="Compact"/>
      </w:pPr>
      <w:r>
        <w:t xml:space="preserve">Заменил один из символов во второй переменной msg. (рис. 23)</w:t>
      </w:r>
    </w:p>
    <w:p>
      <w:pPr>
        <w:pStyle w:val="CaptionedFigure"/>
      </w:pPr>
      <w:bookmarkStart w:id="114" w:name="fig:023"/>
      <w:r>
        <w:drawing>
          <wp:inline>
            <wp:extent cx="4864100" cy="1257300"/>
            <wp:effectExtent b="0" l="0" r="0" t="0"/>
            <wp:docPr descr="Рис. 23: Замена символа во второй переменной msg" title="" id="112" name="Picture"/>
            <a:graphic>
              <a:graphicData uri="http://schemas.openxmlformats.org/drawingml/2006/picture">
                <pic:pic>
                  <pic:nvPicPr>
                    <pic:cNvPr descr="image/Рис.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Замена символа во второй переменной msg</w:t>
      </w:r>
    </w:p>
    <w:p>
      <w:pPr>
        <w:numPr>
          <w:ilvl w:val="0"/>
          <w:numId w:val="1020"/>
        </w:numPr>
        <w:pStyle w:val="Compact"/>
      </w:pPr>
      <w:r>
        <w:t xml:space="preserve">Вывел в различных форматах значение регистра edx. (рис. 24)</w:t>
      </w:r>
    </w:p>
    <w:p>
      <w:pPr>
        <w:pStyle w:val="CaptionedFigure"/>
      </w:pPr>
      <w:bookmarkStart w:id="118" w:name="fig:024"/>
      <w:r>
        <w:drawing>
          <wp:inline>
            <wp:extent cx="4902200" cy="2184400"/>
            <wp:effectExtent b="0" l="0" r="0" t="0"/>
            <wp:docPr descr="Рис. 24: Вывод в различных форматах значения регистра edx" title="" id="116" name="Picture"/>
            <a:graphic>
              <a:graphicData uri="http://schemas.openxmlformats.org/drawingml/2006/picture">
                <pic:pic>
                  <pic:nvPicPr>
                    <pic:cNvPr descr="image/Рис.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Вывод в различных форматах значения регистра edx</w:t>
      </w:r>
    </w:p>
    <w:p>
      <w:pPr>
        <w:numPr>
          <w:ilvl w:val="0"/>
          <w:numId w:val="1021"/>
        </w:numPr>
        <w:pStyle w:val="Compact"/>
      </w:pPr>
      <w:r>
        <w:t xml:space="preserve">C помощью команды set изменил значение регистра ebx. (рис. 25)</w:t>
      </w:r>
    </w:p>
    <w:p>
      <w:pPr>
        <w:pStyle w:val="CaptionedFigure"/>
      </w:pPr>
      <w:bookmarkStart w:id="122" w:name="fig:025"/>
      <w:r>
        <w:drawing>
          <wp:inline>
            <wp:extent cx="4902200" cy="2184400"/>
            <wp:effectExtent b="0" l="0" r="0" t="0"/>
            <wp:docPr descr="Рис. 25: Изменение значения регистра ebx" title="" id="120" name="Picture"/>
            <a:graphic>
              <a:graphicData uri="http://schemas.openxmlformats.org/drawingml/2006/picture">
                <pic:pic>
                  <pic:nvPicPr>
                    <pic:cNvPr descr="image/Рис.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Изменение значения регистра ebx</w:t>
      </w:r>
    </w:p>
    <w:p>
      <w:pPr>
        <w:numPr>
          <w:ilvl w:val="0"/>
          <w:numId w:val="1022"/>
        </w:numPr>
        <w:pStyle w:val="Compact"/>
      </w:pPr>
      <w:r>
        <w:t xml:space="preserve">Скопировал файл lab9-2.asm, созданный при выполнении лабораторной работы №9, с программой, выводящей на экран аргументы командной строки, в файл с именем lab10-3.asm. (рис. 26)</w:t>
      </w:r>
    </w:p>
    <w:p>
      <w:pPr>
        <w:pStyle w:val="CaptionedFigure"/>
      </w:pPr>
      <w:bookmarkStart w:id="126" w:name="fig:026"/>
      <w:r>
        <w:drawing>
          <wp:inline>
            <wp:extent cx="5334000" cy="212849"/>
            <wp:effectExtent b="0" l="0" r="0" t="0"/>
            <wp:docPr descr="Рис. 26: Копирование файла lab9-2.asm в файл lab10-3.asm" title="" id="124" name="Picture"/>
            <a:graphic>
              <a:graphicData uri="http://schemas.openxmlformats.org/drawingml/2006/picture">
                <pic:pic>
                  <pic:nvPicPr>
                    <pic:cNvPr descr="image/Рис.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Копирование файла lab9-2.asm в файл lab10-3.asm</w:t>
      </w:r>
    </w:p>
    <w:p>
      <w:pPr>
        <w:numPr>
          <w:ilvl w:val="0"/>
          <w:numId w:val="1023"/>
        </w:numPr>
        <w:pStyle w:val="Compact"/>
      </w:pPr>
      <w:r>
        <w:t xml:space="preserve">Создал исполняемый файл, загрузил его в отладчик, указав аргументы. (рис. 27)</w:t>
      </w:r>
    </w:p>
    <w:p>
      <w:pPr>
        <w:pStyle w:val="CaptionedFigure"/>
      </w:pPr>
      <w:bookmarkStart w:id="130" w:name="fig:027"/>
      <w:r>
        <w:drawing>
          <wp:inline>
            <wp:extent cx="5334000" cy="1807832"/>
            <wp:effectExtent b="0" l="0" r="0" t="0"/>
            <wp:docPr descr="Рис. 27: Создание исполняемого файла и загрузка его в отладчик" title="" id="128" name="Picture"/>
            <a:graphic>
              <a:graphicData uri="http://schemas.openxmlformats.org/drawingml/2006/picture">
                <pic:pic>
                  <pic:nvPicPr>
                    <pic:cNvPr descr="image/Рис.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Создание исполняемого файла и загрузка его в отладчик</w:t>
      </w:r>
    </w:p>
    <w:p>
      <w:pPr>
        <w:numPr>
          <w:ilvl w:val="0"/>
          <w:numId w:val="1024"/>
        </w:numPr>
        <w:pStyle w:val="Compact"/>
      </w:pPr>
      <w:r>
        <w:t xml:space="preserve">Установил точку останова перед первой инструкцией в программе и запустил программу. (рис. 28)</w:t>
      </w:r>
    </w:p>
    <w:p>
      <w:pPr>
        <w:pStyle w:val="CaptionedFigure"/>
      </w:pPr>
      <w:bookmarkStart w:id="134" w:name="fig:028"/>
      <w:r>
        <w:drawing>
          <wp:inline>
            <wp:extent cx="5334000" cy="609772"/>
            <wp:effectExtent b="0" l="0" r="0" t="0"/>
            <wp:docPr descr="Рис. 28: Установка точки останова перенд первой инструкцией в программе и её запуск" title="" id="132" name="Picture"/>
            <a:graphic>
              <a:graphicData uri="http://schemas.openxmlformats.org/drawingml/2006/picture">
                <pic:pic>
                  <pic:nvPicPr>
                    <pic:cNvPr descr="image/Рис.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Установка точки останова перенд первой инструкцией в программе и её запуск</w:t>
      </w:r>
    </w:p>
    <w:p>
      <w:pPr>
        <w:numPr>
          <w:ilvl w:val="0"/>
          <w:numId w:val="1025"/>
        </w:numPr>
        <w:pStyle w:val="Compact"/>
      </w:pPr>
      <w:r>
        <w:t xml:space="preserve">Адрес вершины стека хранится в регистре esp и по этому адресу располагается число, равное количеству аргументов командной строки (включая имя программы). Как видно, число аргументов равно 5. Это имя программы lab10-3.asm. (рис. 29)</w:t>
      </w:r>
    </w:p>
    <w:p>
      <w:pPr>
        <w:pStyle w:val="CaptionedFigure"/>
      </w:pPr>
      <w:bookmarkStart w:id="138" w:name="fig:029"/>
      <w:r>
        <w:drawing>
          <wp:inline>
            <wp:extent cx="4749800" cy="939800"/>
            <wp:effectExtent b="0" l="0" r="0" t="0"/>
            <wp:docPr descr="Рис. 29: Команда x/x $esp" title="" id="136" name="Picture"/>
            <a:graphic>
              <a:graphicData uri="http://schemas.openxmlformats.org/drawingml/2006/picture">
                <pic:pic>
                  <pic:nvPicPr>
                    <pic:cNvPr descr="image/Рис.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Команда x/x $esp</w:t>
      </w:r>
    </w:p>
    <w:p>
      <w:pPr>
        <w:numPr>
          <w:ilvl w:val="0"/>
          <w:numId w:val="1026"/>
        </w:numPr>
        <w:pStyle w:val="Compact"/>
      </w:pPr>
      <w:r>
        <w:t xml:space="preserve">Просмотрел остальные позиции стека. По адресу esp+4 располагается адрес в памяти, где находится имя программы, по адресу esp+8 хранится адрес первого аргумента, по адресу esp+12 - второго аргумента и т.д. (рис. 30)</w:t>
      </w:r>
    </w:p>
    <w:p>
      <w:pPr>
        <w:pStyle w:val="CaptionedFigure"/>
      </w:pPr>
      <w:bookmarkStart w:id="142" w:name="fig:030"/>
      <w:r>
        <w:drawing>
          <wp:inline>
            <wp:extent cx="5334000" cy="1163916"/>
            <wp:effectExtent b="0" l="0" r="0" t="0"/>
            <wp:docPr descr="Рис. 30: Просмотр остальных позиций стека" title="" id="140" name="Picture"/>
            <a:graphic>
              <a:graphicData uri="http://schemas.openxmlformats.org/drawingml/2006/picture">
                <pic:pic>
                  <pic:nvPicPr>
                    <pic:cNvPr descr="image/Рис.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30: Просмотр остальных позиций стека</w:t>
      </w:r>
    </w:p>
    <w:p>
      <w:pPr>
        <w:pStyle w:val="BodyText"/>
      </w:pPr>
      <w:r>
        <w:rPr>
          <w:bCs/>
          <w:b/>
        </w:rPr>
        <w:t xml:space="preserve">Самостоятельная работа</w:t>
      </w:r>
    </w:p>
    <w:p>
      <w:pPr>
        <w:numPr>
          <w:ilvl w:val="0"/>
          <w:numId w:val="1027"/>
        </w:numPr>
        <w:pStyle w:val="Compact"/>
      </w:pPr>
      <w:r>
        <w:t xml:space="preserve">Преобразовал программу из лабораторной работы №9 (задание 1 из самостоятельной работы), реализовав вычисление значения функции f(x) как подпрограмму. Создал исполняемый файл и проверил его работу. (рис. 31, 32, 33)</w:t>
      </w:r>
    </w:p>
    <w:p>
      <w:pPr>
        <w:pStyle w:val="CaptionedFigure"/>
      </w:pPr>
      <w:bookmarkStart w:id="146" w:name="fig:031"/>
      <w:r>
        <w:drawing>
          <wp:inline>
            <wp:extent cx="5334000" cy="4428623"/>
            <wp:effectExtent b="0" l="0" r="0" t="0"/>
            <wp:docPr descr="Рис. 31: Преобразование программы" title="" id="144" name="Picture"/>
            <a:graphic>
              <a:graphicData uri="http://schemas.openxmlformats.org/drawingml/2006/picture">
                <pic:pic>
                  <pic:nvPicPr>
                    <pic:cNvPr descr="image/Рис.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Рис. 31: Преобразование программы</w:t>
      </w:r>
    </w:p>
    <w:p>
      <w:pPr>
        <w:pStyle w:val="CaptionedFigure"/>
      </w:pPr>
      <w:bookmarkStart w:id="150" w:name="fig:032"/>
      <w:r>
        <w:drawing>
          <wp:inline>
            <wp:extent cx="4064000" cy="3632200"/>
            <wp:effectExtent b="0" l="0" r="0" t="0"/>
            <wp:docPr descr="Рис. 32: Преобразование программы" title="" id="148" name="Picture"/>
            <a:graphic>
              <a:graphicData uri="http://schemas.openxmlformats.org/drawingml/2006/picture">
                <pic:pic>
                  <pic:nvPicPr>
                    <pic:cNvPr descr="image/Рис.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Рис. 32: Преобразование программы</w:t>
      </w:r>
    </w:p>
    <w:p>
      <w:pPr>
        <w:pStyle w:val="CaptionedFigure"/>
      </w:pPr>
      <w:bookmarkStart w:id="154" w:name="fig:033"/>
      <w:r>
        <w:drawing>
          <wp:inline>
            <wp:extent cx="5334000" cy="787515"/>
            <wp:effectExtent b="0" l="0" r="0" t="0"/>
            <wp:docPr descr="Рис. 33: Проверка работы исполняемого файла" title="" id="152" name="Picture"/>
            <a:graphic>
              <a:graphicData uri="http://schemas.openxmlformats.org/drawingml/2006/picture">
                <pic:pic>
                  <pic:nvPicPr>
                    <pic:cNvPr descr="image/Рис.3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Рис. 33: Проверка работы исполняемого файла</w:t>
      </w:r>
    </w:p>
    <w:p>
      <w:pPr>
        <w:numPr>
          <w:ilvl w:val="0"/>
          <w:numId w:val="1028"/>
        </w:numPr>
        <w:pStyle w:val="Compact"/>
      </w:pPr>
      <w:r>
        <w:t xml:space="preserve">C помощью отладчика GDB, анализируя изменения значений регистров, определил и исправил ошибку в программе вычисления выражения (3+2)*4+5. В результате программа должна выглядеть следующим образом. Создал исполняемый файл и проверил его работу. (рис. 34, 35)</w:t>
      </w:r>
    </w:p>
    <w:p>
      <w:pPr>
        <w:pStyle w:val="CaptionedFigure"/>
      </w:pPr>
      <w:bookmarkStart w:id="158" w:name="fig:034"/>
      <w:r>
        <w:drawing>
          <wp:inline>
            <wp:extent cx="5334000" cy="4005743"/>
            <wp:effectExtent b="0" l="0" r="0" t="0"/>
            <wp:docPr descr="Рис. 34: Изменение текста программы" title="" id="156" name="Picture"/>
            <a:graphic>
              <a:graphicData uri="http://schemas.openxmlformats.org/drawingml/2006/picture">
                <pic:pic>
                  <pic:nvPicPr>
                    <pic:cNvPr descr="image/Рис.3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Рис. 34: Изменение текста программы</w:t>
      </w:r>
    </w:p>
    <w:p>
      <w:pPr>
        <w:pStyle w:val="CaptionedFigure"/>
      </w:pPr>
      <w:bookmarkStart w:id="162" w:name="fig:035"/>
      <w:r>
        <w:drawing>
          <wp:inline>
            <wp:extent cx="5334000" cy="635285"/>
            <wp:effectExtent b="0" l="0" r="0" t="0"/>
            <wp:docPr descr="Рис. 35: Проверка работы исполняемого файла" title="" id="160" name="Picture"/>
            <a:graphic>
              <a:graphicData uri="http://schemas.openxmlformats.org/drawingml/2006/picture">
                <pic:pic>
                  <pic:nvPicPr>
                    <pic:cNvPr descr="image/Рис.35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Рис. 35: Проверка работы исполняемого файла</w:t>
      </w:r>
    </w:p>
    <w:bookmarkEnd w:id="163"/>
    <w:bookmarkStart w:id="1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научился писать программы с использованием подпрограмм, ознакомился с методами откладки при помощи GDB и его основными возможностями.</w:t>
      </w:r>
    </w:p>
    <w:bookmarkEnd w:id="1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3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4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5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6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7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8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9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3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4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5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6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Максим Александрович Мишонков</dc:creator>
  <dc:language>ru-RU</dc:language>
  <cp:keywords/>
  <dcterms:created xsi:type="dcterms:W3CDTF">2022-12-16T12:09:41Z</dcterms:created>
  <dcterms:modified xsi:type="dcterms:W3CDTF">2022-12-16T12:09:41Z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