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2E74B5"/>
          <w:sz w:val="20"/>
        </w:rPr>
        <w:t>ARCHITECTURE DESIGN DOCUMENT</w:t>
      </w:r>
    </w:p>
    <w:p>
      <w:pPr>
        <w:pStyle w:val="Title"/>
      </w:pPr>
      <w:r>
        <w:t>Agentic Target Modeling Solution</w:t>
      </w:r>
    </w:p>
    <w:p>
      <w:pPr>
        <w:pStyle w:val="Subtitle"/>
      </w:pPr>
      <w:r>
        <w:t>Trusted Silver ODS and Gold data-product recommendations for P&amp;C modernization</w:t>
      </w:r>
    </w:p>
    <w:p>
      <w:pPr>
        <w:spacing w:before="0" w:after="40"/>
      </w:pPr>
      <w:r>
        <w:t>Status: Draft for architecture review — updated with design-review controls</w:t>
      </w:r>
    </w:p>
    <w:p>
      <w:pPr>
        <w:spacing w:before="0" w:after="40"/>
      </w:pPr>
      <w:r>
        <w:t>Version: 0.2</w:t>
      </w:r>
    </w:p>
    <w:p>
      <w:pPr>
        <w:spacing w:before="0" w:after="40"/>
      </w:pPr>
      <w:r>
        <w:t>Date: 11 July 2026 (design-review update)</w:t>
      </w:r>
    </w:p>
    <w:p>
      <w:pPr>
        <w:spacing w:before="0" w:after="40"/>
      </w:pPr>
      <w:r>
        <w:rPr>
          <w:rFonts w:ascii="Calibri" w:hAnsi="Calibri"/>
          <w:b/>
          <w:color w:val="0B2545"/>
          <w:sz w:val="22"/>
        </w:rPr>
        <w:t xml:space="preserve">Platform: </w:t>
      </w:r>
      <w:r>
        <w:rPr>
          <w:rFonts w:ascii="Calibri" w:hAnsi="Calibri"/>
          <w:color w:val="333333"/>
          <w:sz w:val="22"/>
        </w:rPr>
        <w:t>Databricks</w:t>
      </w:r>
    </w:p>
    <w:p>
      <w:pPr>
        <w:spacing w:before="0" w:after="40"/>
      </w:pPr>
      <w:r>
        <w:rPr>
          <w:rFonts w:ascii="Calibri" w:hAnsi="Calibri"/>
          <w:b/>
          <w:color w:val="0B2545"/>
          <w:sz w:val="22"/>
        </w:rPr>
        <w:t xml:space="preserve">Primary use cases: </w:t>
      </w:r>
      <w:r>
        <w:rPr>
          <w:rFonts w:ascii="Calibri" w:hAnsi="Calibri"/>
          <w:color w:val="333333"/>
          <w:sz w:val="22"/>
        </w:rPr>
        <w:t>Conversion planning and platform modernization design</w:t>
      </w:r>
    </w:p>
    <w:p>
      <w:pPr>
        <w:spacing w:before="120" w:after="160" w:line="264" w:lineRule="auto"/>
        <w:ind w:left="230" w:right="230"/>
        <w:shd w:fill="F4F6F9"/>
        <w:pBdr>
          <w:left w:val="single" w:sz="18" w:space="6" w:color="2E74B5"/>
        </w:pBdr>
      </w:pPr>
      <w:r>
        <w:rPr>
          <w:rFonts w:ascii="Calibri" w:hAnsi="Calibri"/>
          <w:b/>
          <w:color w:val="0B2545"/>
          <w:sz w:val="22"/>
        </w:rPr>
        <w:t xml:space="preserve">Design intent. </w:t>
      </w:r>
      <w:r>
        <w:rPr>
          <w:rFonts w:ascii="Calibri" w:hAnsi="Calibri"/>
          <w:color w:val="0B2545"/>
          <w:sz w:val="22"/>
        </w:rPr>
        <w:t>Use governed P&amp;C and COTS product knowledge to recommend a standardized ontology, Silver ODS models, Gold dimensional models/data products, STTM mappings, business rules, derived attributes, and privacy classifications. All recommendations remain subject to human approval.</w:t>
      </w:r>
    </w:p>
    <w:p>
      <w:pPr>
        <w:pStyle w:val="Heading1"/>
        <w:keepNext/>
      </w:pPr>
      <w:r>
        <w:t>Document purpose</w:t>
      </w:r>
    </w:p>
    <w:p>
      <w:pPr>
        <w:spacing w:before="0" w:after="120" w:line="264" w:lineRule="auto"/>
      </w:pPr>
      <w:r>
        <w:rPr>
          <w:rFonts w:ascii="Calibri" w:hAnsi="Calibri"/>
          <w:i w:val="0"/>
          <w:color w:val="000000"/>
          <w:sz w:val="22"/>
        </w:rPr>
        <w:t>This document records the agreed logical design for an agentic solution that analyzes existing Bronze-layer structures and recommends trusted target models for the Silver and Gold layers on Databricks. It captures the solution boundary, responsibilities, agents, context-engineering design, governance model, Databricks capabilities, outputs, and acceptance criteria.</w:t>
      </w:r>
    </w:p>
    <w:p>
      <w:pPr>
        <w:spacing w:before="0" w:after="120" w:line="264" w:lineRule="auto"/>
      </w:pPr>
      <w:r>
        <w:rPr>
          <w:rFonts w:ascii="Calibri" w:hAnsi="Calibri"/>
          <w:i w:val="0"/>
          <w:color w:val="000000"/>
          <w:sz w:val="22"/>
        </w:rPr>
        <w:t>This version intentionally contains no architecture diagram. It is the written baseline to approve before a visual architecture is produced.</w:t>
      </w:r>
    </w:p>
    <w:p>
      <w:r>
        <w:br w:type="page"/>
      </w:r>
    </w:p>
    <w:p>
      <w:pPr>
        <w:pStyle w:val="Heading1"/>
        <w:keepNext/>
      </w:pPr>
      <w:r>
        <w:t>1. Executive summary</w:t>
      </w:r>
    </w:p>
    <w:p>
      <w:pPr>
        <w:spacing w:before="0" w:after="120" w:line="264" w:lineRule="auto"/>
      </w:pPr>
      <w:r>
        <w:rPr>
          <w:rFonts w:ascii="Calibri" w:hAnsi="Calibri"/>
          <w:i w:val="0"/>
          <w:color w:val="000000"/>
          <w:sz w:val="22"/>
        </w:rPr>
        <w:t>The solution operates as a governed recommendation system for Property &amp; Casualty (P&amp;C) data modeling. It analyzes available Bronze metadata and permitted profiling evidence, recognizes structures from commercial off-the-shelf (COTS) insurance platforms, maps them to a standardized P&amp;C ontology, and recommends source-independent Silver ODS and Gold analytical models.</w:t>
      </w:r>
    </w:p>
    <w:p>
      <w:pPr>
        <w:spacing w:before="0" w:after="120" w:line="264" w:lineRule="auto"/>
      </w:pPr>
      <w:r>
        <w:rPr>
          <w:rFonts w:ascii="Calibri" w:hAnsi="Calibri"/>
          <w:i w:val="0"/>
          <w:color w:val="000000"/>
          <w:sz w:val="22"/>
        </w:rPr>
        <w:t>The recommended operating model consists of one orchestrator and six specialist agents. These are logical roles and may share a common Databricks-hosted foundation model while using distinct instructions, retrieval scopes, tools, output contracts, and evaluation criteria.</w:t>
      </w:r>
    </w:p>
    <w:p>
      <w:pPr>
        <w:spacing w:before="120" w:after="160" w:line="264" w:lineRule="auto"/>
        <w:ind w:left="230" w:right="230"/>
        <w:shd w:fill="F4F6F9"/>
        <w:pBdr>
          <w:left w:val="single" w:sz="18" w:space="6" w:color="2E74B5"/>
        </w:pBdr>
      </w:pPr>
      <w:r>
        <w:rPr>
          <w:rFonts w:ascii="Calibri" w:hAnsi="Calibri"/>
          <w:b/>
          <w:color w:val="0B2545"/>
          <w:sz w:val="22"/>
        </w:rPr>
        <w:t xml:space="preserve">Core principle. </w:t>
      </w:r>
      <w:r>
        <w:rPr>
          <w:rFonts w:ascii="Calibri" w:hAnsi="Calibri"/>
          <w:color w:val="0B2545"/>
          <w:sz w:val="22"/>
        </w:rPr>
        <w:t>Standardize first, map second, and extend only when evidence supports the extension and an authorized reviewer approves it.</w:t>
      </w:r>
    </w:p>
    <w:p>
      <w:pPr>
        <w:pStyle w:val="Heading1"/>
        <w:keepNext/>
      </w:pPr>
      <w:r>
        <w:t>2. Goals and desired outcomes</w:t>
      </w:r>
    </w:p>
    <w:p>
      <w:pPr>
        <w:numPr>
          <w:ilvl w:val="0"/>
          <w:numId w:val="90"/>
        </w:numPr>
      </w:pPr>
      <w:r>
        <w:rPr>
          <w:rFonts w:ascii="Calibri" w:hAnsi="Calibri"/>
          <w:color w:val="000000"/>
          <w:sz w:val="22"/>
        </w:rPr>
        <w:t>Ground modeling decisions in approved P&amp;C domain knowledge, LOB knowledge, COTS reference models, and observed source evidence.</w:t>
      </w:r>
    </w:p>
    <w:p>
      <w:pPr>
        <w:numPr>
          <w:ilvl w:val="0"/>
          <w:numId w:val="90"/>
        </w:numPr>
      </w:pPr>
      <w:r>
        <w:rPr>
          <w:rFonts w:ascii="Calibri" w:hAnsi="Calibri"/>
          <w:color w:val="000000"/>
          <w:sz w:val="22"/>
        </w:rPr>
        <w:t>Recommend a source-independent Silver ODS model for Policy, Claims, Billing, and shared business domains.</w:t>
      </w:r>
    </w:p>
    <w:p>
      <w:pPr>
        <w:numPr>
          <w:ilvl w:val="0"/>
          <w:numId w:val="90"/>
        </w:numPr>
      </w:pPr>
      <w:r>
        <w:rPr>
          <w:rFonts w:ascii="Calibri" w:hAnsi="Calibri"/>
          <w:color w:val="000000"/>
          <w:sz w:val="22"/>
        </w:rPr>
        <w:t>Recommend Gold dimensional models and domain/LOB data products, including expected derived attributes.</w:t>
      </w:r>
    </w:p>
    <w:p>
      <w:pPr>
        <w:numPr>
          <w:ilvl w:val="0"/>
          <w:numId w:val="90"/>
        </w:numPr>
      </w:pPr>
      <w:r>
        <w:rPr>
          <w:rFonts w:ascii="Calibri" w:hAnsi="Calibri"/>
          <w:color w:val="000000"/>
          <w:sz w:val="22"/>
        </w:rPr>
        <w:t>Produce traceable Bronze-to-Silver and Silver-to-Gold source-to-target mapping specifications (STTMs).</w:t>
      </w:r>
    </w:p>
    <w:p>
      <w:pPr>
        <w:numPr>
          <w:ilvl w:val="0"/>
          <w:numId w:val="90"/>
        </w:numPr>
      </w:pPr>
      <w:r>
        <w:rPr>
          <w:rFonts w:ascii="Calibri" w:hAnsi="Calibri"/>
          <w:color w:val="000000"/>
          <w:sz w:val="22"/>
        </w:rPr>
        <w:t>Make every recommendation reviewable through evidence, provenance, confidence, assumptions, and approval status.</w:t>
      </w:r>
    </w:p>
    <w:p>
      <w:pPr>
        <w:numPr>
          <w:ilvl w:val="0"/>
          <w:numId w:val="90"/>
        </w:numPr>
      </w:pPr>
      <w:r>
        <w:rPr>
          <w:rFonts w:ascii="Calibri" w:hAnsi="Calibri"/>
          <w:color w:val="000000"/>
          <w:sz w:val="22"/>
        </w:rPr>
        <w:t>Support design activities for conversion and platform-modernization programs without performing migration or implementation execution.</w:t>
      </w:r>
    </w:p>
    <w:p>
      <w:pPr>
        <w:pStyle w:val="Heading1"/>
        <w:keepNext/>
      </w:pPr>
      <w:r>
        <w:t>3. Scope</w:t>
      </w:r>
    </w:p>
    <w:p>
      <w:pPr>
        <w:pStyle w:val="Heading2"/>
        <w:keepNext/>
      </w:pPr>
      <w:r>
        <w:t>3.1 In scope</w:t>
      </w:r>
    </w:p>
    <w:p>
      <w:pPr>
        <w:numPr>
          <w:ilvl w:val="0"/>
          <w:numId w:val="90"/>
        </w:numPr>
      </w:pPr>
      <w:r>
        <w:rPr>
          <w:rFonts w:ascii="Calibri" w:hAnsi="Calibri"/>
          <w:color w:val="000000"/>
          <w:sz w:val="22"/>
        </w:rPr>
        <w:t>Analysis of Bronze metadata and permitted semantic profiling evidence.</w:t>
      </w:r>
    </w:p>
    <w:p>
      <w:pPr>
        <w:numPr>
          <w:ilvl w:val="0"/>
          <w:numId w:val="90"/>
        </w:numPr>
      </w:pPr>
      <w:r>
        <w:rPr>
          <w:rFonts w:ascii="Calibri" w:hAnsi="Calibri"/>
          <w:color w:val="000000"/>
          <w:sz w:val="22"/>
        </w:rPr>
        <w:t>Recognition and interpretation of Guidewire, Origami, Majesco, and other approved P&amp;C COTS product models.</w:t>
      </w:r>
    </w:p>
    <w:p>
      <w:pPr>
        <w:numPr>
          <w:ilvl w:val="0"/>
          <w:numId w:val="90"/>
        </w:numPr>
      </w:pPr>
      <w:r>
        <w:rPr>
          <w:rFonts w:ascii="Calibri" w:hAnsi="Calibri"/>
          <w:color w:val="000000"/>
          <w:sz w:val="22"/>
        </w:rPr>
        <w:t>P&amp;C business boundaries covering Policy, Claims, Billing, and shared domains such as Party, Producer, Product, Coverage, and Reference Data.</w:t>
      </w:r>
    </w:p>
    <w:p>
      <w:pPr>
        <w:numPr>
          <w:ilvl w:val="0"/>
          <w:numId w:val="90"/>
        </w:numPr>
      </w:pPr>
      <w:r>
        <w:rPr>
          <w:rFonts w:ascii="Calibri" w:hAnsi="Calibri"/>
          <w:color w:val="000000"/>
          <w:sz w:val="22"/>
        </w:rPr>
        <w:t>Configurable business hierarchy: segment → LOB → product → coverage.</w:t>
      </w:r>
    </w:p>
    <w:p>
      <w:pPr>
        <w:numPr>
          <w:ilvl w:val="0"/>
          <w:numId w:val="90"/>
        </w:numPr>
      </w:pPr>
      <w:r>
        <w:rPr>
          <w:rFonts w:ascii="Calibri" w:hAnsi="Calibri"/>
          <w:color w:val="000000"/>
          <w:sz w:val="22"/>
        </w:rPr>
        <w:t>Standardized P&amp;C ontology with governed specializations and evidence-based extensions.</w:t>
      </w:r>
    </w:p>
    <w:p>
      <w:pPr>
        <w:numPr>
          <w:ilvl w:val="0"/>
          <w:numId w:val="90"/>
        </w:numPr>
      </w:pPr>
      <w:r>
        <w:rPr>
          <w:rFonts w:ascii="Calibri" w:hAnsi="Calibri"/>
          <w:color w:val="000000"/>
          <w:sz w:val="22"/>
        </w:rPr>
        <w:t>Recommendations for Silver ODS, Gold dimensional models/data products, STTM mappings, transformations, business rules, derived attributes, and privacy classifications.</w:t>
      </w:r>
    </w:p>
    <w:p>
      <w:pPr>
        <w:numPr>
          <w:ilvl w:val="0"/>
          <w:numId w:val="90"/>
        </w:numPr>
      </w:pPr>
      <w:r>
        <w:rPr>
          <w:rFonts w:ascii="Calibri" w:hAnsi="Calibri"/>
          <w:color w:val="000000"/>
          <w:sz w:val="22"/>
        </w:rPr>
        <w:t>Confidence scoring, provenance, ambiguity handling, and human approval.</w:t>
      </w:r>
    </w:p>
    <w:p>
      <w:pPr>
        <w:numPr>
          <w:ilvl w:val="0"/>
          <w:numId w:val="90"/>
        </w:numPr>
      </w:pPr>
      <w:r>
        <w:rPr>
          <w:rFonts w:ascii="Calibri" w:hAnsi="Calibri"/>
          <w:color w:val="000000"/>
          <w:sz w:val="22"/>
        </w:rPr>
        <w:t>Databricks-hosted agent orchestration, retrieval, evaluation, and recommendation storage.</w:t>
      </w:r>
    </w:p>
    <w:p>
      <w:pPr>
        <w:pStyle w:val="Heading2"/>
        <w:keepNext/>
      </w:pPr>
      <w:r>
        <w:t>3.2 Out of scope</w:t>
      </w:r>
    </w:p>
    <w:p>
      <w:pPr>
        <w:numPr>
          <w:ilvl w:val="0"/>
          <w:numId w:val="90"/>
        </w:numPr>
      </w:pPr>
      <w:r>
        <w:rPr>
          <w:rFonts w:ascii="Calibri" w:hAnsi="Calibri"/>
          <w:color w:val="000000"/>
          <w:sz w:val="22"/>
        </w:rPr>
        <w:t>Source ingestion, extraction patterns, connectors, landing processes, and Bronze creation.</w:t>
      </w:r>
    </w:p>
    <w:p>
      <w:pPr>
        <w:numPr>
          <w:ilvl w:val="0"/>
          <w:numId w:val="90"/>
        </w:numPr>
      </w:pPr>
      <w:r>
        <w:rPr>
          <w:rFonts w:ascii="Calibri" w:hAnsi="Calibri"/>
          <w:color w:val="000000"/>
          <w:sz w:val="22"/>
        </w:rPr>
        <w:t>Generation or deployment of SQL, Python, PySpark, DDL, pipelines, or other executable implementation code.</w:t>
      </w:r>
    </w:p>
    <w:p>
      <w:pPr>
        <w:numPr>
          <w:ilvl w:val="0"/>
          <w:numId w:val="90"/>
        </w:numPr>
      </w:pPr>
      <w:r>
        <w:rPr>
          <w:rFonts w:ascii="Calibri" w:hAnsi="Calibri"/>
          <w:color w:val="000000"/>
          <w:sz w:val="22"/>
        </w:rPr>
        <w:t>Conversion execution, data cleansing, migration, reconciliation, exception processing, cutover, and coexistence.</w:t>
      </w:r>
    </w:p>
    <w:p>
      <w:pPr>
        <w:numPr>
          <w:ilvl w:val="0"/>
          <w:numId w:val="90"/>
        </w:numPr>
      </w:pPr>
      <w:r>
        <w:rPr>
          <w:rFonts w:ascii="Calibri" w:hAnsi="Calibri"/>
          <w:color w:val="000000"/>
          <w:sz w:val="22"/>
        </w:rPr>
        <w:t>Broad data-quality validation such as referential-integrity, performance, and operational reconciliation frameworks.</w:t>
      </w:r>
    </w:p>
    <w:p>
      <w:pPr>
        <w:numPr>
          <w:ilvl w:val="0"/>
          <w:numId w:val="90"/>
        </w:numPr>
      </w:pPr>
      <w:r>
        <w:rPr>
          <w:rFonts w:ascii="Calibri" w:hAnsi="Calibri"/>
          <w:color w:val="000000"/>
          <w:sz w:val="22"/>
        </w:rPr>
        <w:t>Broader security architecture; only privacy classification is included in the current modeling scope.</w:t>
      </w:r>
    </w:p>
    <w:p>
      <w:pPr>
        <w:numPr>
          <w:ilvl w:val="0"/>
          <w:numId w:val="90"/>
        </w:numPr>
      </w:pPr>
      <w:r>
        <w:rPr>
          <w:rFonts w:ascii="Calibri" w:hAnsi="Calibri"/>
          <w:color w:val="000000"/>
          <w:sz w:val="22"/>
        </w:rPr>
        <w:t>Automatic publication of recommendations as authoritative enterprise models without human approval.</w:t>
      </w:r>
    </w:p>
    <w:p>
      <w:pPr>
        <w:pStyle w:val="Heading1"/>
        <w:keepNext/>
      </w:pPr>
      <w:r>
        <w:t>4. Design decisions and guardrails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2100"/>
        <w:gridCol w:w="6360"/>
      </w:tblGrid>
      <w:tr>
        <w:trPr>
          <w:tblHeader w:val="true"/>
        </w:trPr>
        <w:tc>
          <w:tcPr>
            <w:tcW w:type="dxa" w:w="9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ID</w:t>
            </w:r>
          </w:p>
        </w:tc>
        <w:tc>
          <w:tcPr>
            <w:tcW w:type="dxa" w:w="21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Decision</w:t>
            </w:r>
          </w:p>
        </w:tc>
        <w:tc>
          <w:tcPr>
            <w:tcW w:type="dxa" w:w="63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Agreed position</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D-01</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Ontology strategy</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Use a standardized domain/LOB ontology as the baseline; data is used to map, validate, specialize, and propose extensions.</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D-02</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COTS knowledge</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Treat authorized, version-specific product documentation and models inside Databricks as grounding evidence; pretrained model memory is not authoritative.</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D-03</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Missing dictionary</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Allow evidence-based inference from metadata and permitted profiles; mark inference explicitly and route low-confidence meaning to a steward.</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D-04</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Agent authority</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Agents recommend only. They do not deploy schemas, mappings, transformations, or derived logic.</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D-05</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Platform boundary</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Run the solution in Databricks and keep metadata within the governed Databricks boundary.</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D-06</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Databricks selection</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Use Databricks capabilities only when fit for purpose; availability does not require every service to appear in every deployment.</w:t>
            </w:r>
          </w:p>
        </w:tc>
      </w:tr>
      <w:tr>
        <w:tc>
          <w:tcPr>
            <w:tcW w:type="dxa" w:w="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D-07</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Trust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Attach evidence, provenance, confidence, assumptions, contradictions, and approval state to every material recommendation.</w:t>
            </w:r>
          </w:p>
        </w:tc>
      </w:tr>
      <w:tr>
        <w:tc>
          <w:tcPr>
            <w:tcW w:type="dxa" w:w="900"/>
          </w:tcPr>
          <w:p>
            <w:r>
              <w:t>D-08</w:t>
            </w:r>
          </w:p>
        </w:tc>
        <w:tc>
          <w:tcPr>
            <w:tcW w:type="dxa" w:w="2100"/>
          </w:tcPr>
          <w:p>
            <w:r>
              <w:t>Tool-access enforcement</w:t>
            </w:r>
          </w:p>
        </w:tc>
        <w:tc>
          <w:tcPr>
            <w:tcW w:type="dxa" w:w="6360"/>
          </w:tcPr>
          <w:p>
            <w:r>
              <w:t>Agents are bound only to approved read/query/retrieval tools. No agent receives schema-write, deployment, transformation-execution, credential-management, or source-ingestion tool access.</w:t>
            </w:r>
          </w:p>
        </w:tc>
      </w:tr>
      <w:tr>
        <w:tc>
          <w:tcPr>
            <w:tcW w:type="dxa" w:w="900"/>
          </w:tcPr>
          <w:p>
            <w:r>
              <w:t>D-09</w:t>
            </w:r>
          </w:p>
        </w:tc>
        <w:tc>
          <w:tcPr>
            <w:tcW w:type="dxa" w:w="2100"/>
          </w:tcPr>
          <w:p>
            <w:r>
              <w:t>Confidence and progression</w:t>
            </w:r>
          </w:p>
        </w:tc>
        <w:tc>
          <w:tcPr>
            <w:tcW w:type="dxa" w:w="6360"/>
          </w:tcPr>
          <w:p>
            <w:r>
              <w:t>Confidence is a calibrated evidence score, not an LLM self-assessment. It controls workflow routing only; no material recommendation becomes authoritative without human approval.</w:t>
            </w:r>
          </w:p>
        </w:tc>
      </w:tr>
      <w:tr>
        <w:tc>
          <w:tcPr>
            <w:tcW w:type="dxa" w:w="900"/>
          </w:tcPr>
          <w:p>
            <w:r>
              <w:t>D-10</w:t>
            </w:r>
          </w:p>
        </w:tc>
        <w:tc>
          <w:tcPr>
            <w:tcW w:type="dxa" w:w="2100"/>
          </w:tcPr>
          <w:p>
            <w:r>
              <w:t>Workflow reliability</w:t>
            </w:r>
          </w:p>
        </w:tc>
        <w:tc>
          <w:tcPr>
            <w:tcW w:type="dxa" w:w="6360"/>
          </w:tcPr>
          <w:p>
            <w:r>
              <w:t>Use durable, idempotent workflow runs with artifact versioning, targeted retries, and downstream invalidation. Re-run only artifacts affected by new evidence or reviewer decisions.</w:t>
            </w:r>
          </w:p>
        </w:tc>
      </w:tr>
      <w:tr>
        <w:tc>
          <w:tcPr>
            <w:tcW w:type="dxa" w:w="900"/>
          </w:tcPr>
          <w:p>
            <w:r>
              <w:t>D-11</w:t>
            </w:r>
          </w:p>
        </w:tc>
        <w:tc>
          <w:tcPr>
            <w:tcW w:type="dxa" w:w="2100"/>
          </w:tcPr>
          <w:p>
            <w:r>
              <w:t>Sensitive evidence</w:t>
            </w:r>
          </w:p>
        </w:tc>
        <w:tc>
          <w:tcPr>
            <w:tcW w:type="dxa" w:w="6360"/>
          </w:tcPr>
          <w:p>
            <w:r>
              <w:t>Do not index raw, masked, or narrative PII by default. Retrieve only approved documentation and sanitized metadata; governed profiling queries remain the preferred path for sensitive evidence.</w:t>
            </w:r>
          </w:p>
        </w:tc>
      </w:tr>
      <w:tr>
        <w:tc>
          <w:tcPr>
            <w:tcW w:type="dxa" w:w="900"/>
          </w:tcPr>
          <w:p>
            <w:r>
              <w:t>D-12</w:t>
            </w:r>
          </w:p>
        </w:tc>
        <w:tc>
          <w:tcPr>
            <w:tcW w:type="dxa" w:w="2100"/>
          </w:tcPr>
          <w:p>
            <w:r>
              <w:t>Engagement isolation</w:t>
            </w:r>
          </w:p>
        </w:tc>
        <w:tc>
          <w:tcPr>
            <w:tcW w:type="dxa" w:w="6360"/>
          </w:tcPr>
          <w:p>
            <w:r>
              <w:t>Separate client engagements through Unity Catalog boundaries, scoped identities, engagement-specific retrieval collections, and isolated audit records.</w:t>
            </w:r>
          </w:p>
        </w:tc>
      </w:tr>
    </w:tbl>
    <w:p>
      <w:pPr>
        <w:spacing w:before="0" w:after="60"/>
      </w:pPr>
    </w:p>
    <w:p>
      <w:pPr>
        <w:pStyle w:val="Heading1"/>
        <w:keepNext/>
      </w:pPr>
      <w:r>
        <w:t>5. Business and knowledge boundary</w:t>
      </w:r>
    </w:p>
    <w:p>
      <w:pPr>
        <w:spacing w:before="0" w:after="120" w:line="264" w:lineRule="auto"/>
      </w:pPr>
      <w:r>
        <w:rPr>
          <w:rFonts w:ascii="Calibri" w:hAnsi="Calibri"/>
          <w:i w:val="0"/>
          <w:color w:val="000000"/>
          <w:sz w:val="22"/>
        </w:rPr>
        <w:t>The solution is grounded within the P&amp;C insurance business domain. Its semantic boundary is established by approved domain knowledge, not discovered afresh from every source schema.</w:t>
      </w:r>
    </w:p>
    <w:p>
      <w:pPr>
        <w:pStyle w:val="Heading2"/>
        <w:keepNext/>
      </w:pPr>
      <w:r>
        <w:t>5.1 Domain boundary</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7560"/>
      </w:tblGrid>
      <w:tr>
        <w:trPr>
          <w:tblHeader w:val="true"/>
        </w:trPr>
        <w:tc>
          <w:tcPr>
            <w:tcW w:type="dxa" w:w="18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Domain</w:t>
            </w:r>
          </w:p>
        </w:tc>
        <w:tc>
          <w:tcPr>
            <w:tcW w:type="dxa" w:w="75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Illustrative semantic coverage</w:t>
            </w:r>
          </w:p>
        </w:tc>
      </w:tr>
      <w:tr>
        <w:tc>
          <w:tcPr>
            <w:tcW w:type="dxa" w:w="18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Policy</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Policy lifecycle, risk, insured items, coverages, terms, endorsements, transactions, and status.</w:t>
            </w:r>
          </w:p>
        </w:tc>
      </w:tr>
      <w:tr>
        <w:tc>
          <w:tcPr>
            <w:tcW w:type="dxa" w:w="18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Claims</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Loss events, claims, exposures, reserves, payments, recoveries, parties, and claim status.</w:t>
            </w:r>
          </w:p>
        </w:tc>
      </w:tr>
      <w:tr>
        <w:tc>
          <w:tcPr>
            <w:tcW w:type="dxa" w:w="18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Billing</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Accounts, invoices, installments, charges, payments, disbursements, delinquency, and balances.</w:t>
            </w:r>
          </w:p>
        </w:tc>
      </w:tr>
      <w:tr>
        <w:tc>
          <w:tcPr>
            <w:tcW w:type="dxa" w:w="18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Shared</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Party/customer, producer, product, coverage, location, organization, reference concepts, and shared identifiers.</w:t>
            </w:r>
          </w:p>
        </w:tc>
      </w:tr>
    </w:tbl>
    <w:p>
      <w:pPr>
        <w:spacing w:before="0" w:after="60"/>
      </w:pPr>
    </w:p>
    <w:p>
      <w:pPr>
        <w:pStyle w:val="Heading2"/>
        <w:keepNext/>
      </w:pPr>
      <w:r>
        <w:t>5.2 Segment and LOB boundary</w:t>
      </w:r>
    </w:p>
    <w:p>
      <w:pPr>
        <w:spacing w:before="0" w:after="120" w:line="264" w:lineRule="auto"/>
      </w:pPr>
      <w:r>
        <w:rPr>
          <w:rFonts w:ascii="Calibri" w:hAnsi="Calibri"/>
          <w:i w:val="0"/>
          <w:color w:val="000000"/>
          <w:sz w:val="22"/>
        </w:rPr>
        <w:t>The solution uses a configurable hierarchy of segment → LOB → product → coverage. Personal and Commercial are treated as segments; Auto, Homeowners, Commercial Auto, Commercial Property, and other approved classifications are represented at the appropriate LOB or product level.</w:t>
      </w:r>
    </w:p>
    <w:p>
      <w:pPr>
        <w:pStyle w:val="Heading2"/>
        <w:keepNext/>
      </w:pPr>
      <w:r>
        <w:t>5.3 COTS product boundary</w:t>
      </w:r>
    </w:p>
    <w:p>
      <w:pPr>
        <w:spacing w:before="0" w:after="120" w:line="264" w:lineRule="auto"/>
      </w:pPr>
      <w:r>
        <w:rPr>
          <w:rFonts w:ascii="Calibri" w:hAnsi="Calibri"/>
          <w:i w:val="0"/>
          <w:color w:val="000000"/>
          <w:sz w:val="22"/>
        </w:rPr>
        <w:t>Guidewire, Origami, Majesco, and other approved platforms are knowledge sources rather than ingestion patterns. Their defined models can accelerate interpretation of Bronze structures when the correct product, module, version, and customer configuration are known.</w:t>
      </w:r>
    </w:p>
    <w:p>
      <w:pPr>
        <w:numPr>
          <w:ilvl w:val="0"/>
          <w:numId w:val="90"/>
        </w:numPr>
      </w:pPr>
      <w:r>
        <w:rPr>
          <w:rFonts w:ascii="Calibri" w:hAnsi="Calibri"/>
          <w:color w:val="000000"/>
          <w:sz w:val="22"/>
        </w:rPr>
        <w:t>Match observed structures to the identified product, module, and version.</w:t>
      </w:r>
    </w:p>
    <w:p>
      <w:pPr>
        <w:numPr>
          <w:ilvl w:val="0"/>
          <w:numId w:val="90"/>
        </w:numPr>
      </w:pPr>
      <w:r>
        <w:rPr>
          <w:rFonts w:ascii="Calibri" w:hAnsi="Calibri"/>
          <w:color w:val="000000"/>
          <w:sz w:val="22"/>
        </w:rPr>
        <w:t>Use the standard COTS model as a reference baseline, never as proof that a field or relationship exists.</w:t>
      </w:r>
    </w:p>
    <w:p>
      <w:pPr>
        <w:numPr>
          <w:ilvl w:val="0"/>
          <w:numId w:val="90"/>
        </w:numPr>
      </w:pPr>
      <w:r>
        <w:rPr>
          <w:rFonts w:ascii="Calibri" w:hAnsi="Calibri"/>
          <w:color w:val="000000"/>
          <w:sz w:val="22"/>
        </w:rPr>
        <w:t>Detect customer-specific extensions and deviations from observed evidence.</w:t>
      </w:r>
    </w:p>
    <w:p>
      <w:pPr>
        <w:numPr>
          <w:ilvl w:val="0"/>
          <w:numId w:val="90"/>
        </w:numPr>
      </w:pPr>
      <w:r>
        <w:rPr>
          <w:rFonts w:ascii="Calibri" w:hAnsi="Calibri"/>
          <w:color w:val="000000"/>
          <w:sz w:val="22"/>
        </w:rPr>
        <w:t>Flag unmatched or ambiguous elements for SME review.</w:t>
      </w:r>
    </w:p>
    <w:p>
      <w:pPr>
        <w:numPr>
          <w:ilvl w:val="0"/>
          <w:numId w:val="90"/>
        </w:numPr>
      </w:pPr>
      <w:r>
        <w:rPr>
          <w:rFonts w:ascii="Calibri" w:hAnsi="Calibri"/>
          <w:color w:val="000000"/>
          <w:sz w:val="22"/>
        </w:rPr>
        <w:t>Do not reproduce or use proprietary models unless the organization has the right to use them.</w:t>
      </w:r>
    </w:p>
    <w:p>
      <w:pPr>
        <w:pStyle w:val="Heading1"/>
        <w:keepNext/>
      </w:pPr>
      <w:r>
        <w:t>6. Ontology design</w:t>
      </w:r>
    </w:p>
    <w:p>
      <w:pPr>
        <w:spacing w:before="0" w:after="120" w:line="264" w:lineRule="auto"/>
      </w:pPr>
      <w:r>
        <w:rPr>
          <w:rFonts w:ascii="Calibri" w:hAnsi="Calibri"/>
          <w:i w:val="0"/>
          <w:color w:val="000000"/>
          <w:sz w:val="22"/>
        </w:rPr>
        <w:t>The ontology is a hybrid governed ontology. Its foundation is a standardized P&amp;C domain and LOB ontology established from approved enterprise standards, licensed COTS models, approved industry standards where permitted, business glossaries, and SME decisions. Source data does not independently define the enterprise ontology.</w:t>
      </w:r>
    </w:p>
    <w:p>
      <w:pPr>
        <w:pStyle w:val="Heading2"/>
        <w:keepNext/>
      </w:pPr>
      <w:r>
        <w:t>6.1 How source evidence is used</w:t>
      </w:r>
    </w:p>
    <w:p>
      <w:pPr>
        <w:numPr>
          <w:ilvl w:val="0"/>
          <w:numId w:val="90"/>
        </w:numPr>
      </w:pPr>
      <w:r>
        <w:rPr>
          <w:rFonts w:ascii="Calibri" w:hAnsi="Calibri"/>
          <w:color w:val="000000"/>
          <w:sz w:val="22"/>
        </w:rPr>
        <w:t>Map physical source fields to standardized concepts.</w:t>
      </w:r>
    </w:p>
    <w:p>
      <w:pPr>
        <w:numPr>
          <w:ilvl w:val="0"/>
          <w:numId w:val="90"/>
        </w:numPr>
      </w:pPr>
      <w:r>
        <w:rPr>
          <w:rFonts w:ascii="Calibri" w:hAnsi="Calibri"/>
          <w:color w:val="000000"/>
          <w:sz w:val="22"/>
        </w:rPr>
        <w:t>Recognize COTS terminology, synonyms, and version-specific structures.</w:t>
      </w:r>
    </w:p>
    <w:p>
      <w:pPr>
        <w:numPr>
          <w:ilvl w:val="0"/>
          <w:numId w:val="90"/>
        </w:numPr>
      </w:pPr>
      <w:r>
        <w:rPr>
          <w:rFonts w:ascii="Calibri" w:hAnsi="Calibri"/>
          <w:color w:val="000000"/>
          <w:sz w:val="22"/>
        </w:rPr>
        <w:t>Detect customer-specific extensions.</w:t>
      </w:r>
    </w:p>
    <w:p>
      <w:pPr>
        <w:numPr>
          <w:ilvl w:val="0"/>
          <w:numId w:val="90"/>
        </w:numPr>
      </w:pPr>
      <w:r>
        <w:rPr>
          <w:rFonts w:ascii="Calibri" w:hAnsi="Calibri"/>
          <w:color w:val="000000"/>
          <w:sz w:val="22"/>
        </w:rPr>
        <w:t>Identify missing standard concepts or required LOB specializations.</w:t>
      </w:r>
    </w:p>
    <w:p>
      <w:pPr>
        <w:numPr>
          <w:ilvl w:val="0"/>
          <w:numId w:val="90"/>
        </w:numPr>
      </w:pPr>
      <w:r>
        <w:rPr>
          <w:rFonts w:ascii="Calibri" w:hAnsi="Calibri"/>
          <w:color w:val="000000"/>
          <w:sz w:val="22"/>
        </w:rPr>
        <w:t>Propose candidate attributes or relationships when evidence exists.</w:t>
      </w:r>
    </w:p>
    <w:p>
      <w:pPr>
        <w:numPr>
          <w:ilvl w:val="0"/>
          <w:numId w:val="90"/>
        </w:numPr>
      </w:pPr>
      <w:r>
        <w:rPr>
          <w:rFonts w:ascii="Calibri" w:hAnsi="Calibri"/>
          <w:color w:val="000000"/>
          <w:sz w:val="22"/>
        </w:rPr>
        <w:t>Provide evidence that a standardized concept is present in the source.</w:t>
      </w:r>
    </w:p>
    <w:p>
      <w:pPr>
        <w:pStyle w:val="Heading2"/>
        <w:keepNext/>
      </w:pPr>
      <w:r>
        <w:t>6.2 Ontology lifecycle states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7460"/>
      </w:tblGrid>
      <w:tr>
        <w:trPr>
          <w:tblHeader w:val="true"/>
        </w:trPr>
        <w:tc>
          <w:tcPr>
            <w:tcW w:type="dxa" w:w="19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Status</w:t>
            </w:r>
          </w:p>
        </w:tc>
        <w:tc>
          <w:tcPr>
            <w:tcW w:type="dxa" w:w="74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Meaning</w:t>
            </w:r>
          </w:p>
        </w:tc>
      </w:tr>
      <w:tr>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Standard</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Part of the approved P&amp;C domain/LOB ontology.</w:t>
            </w:r>
          </w:p>
        </w:tc>
      </w:tr>
      <w:tr>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Specialized</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Approved specialization of a standard concept.</w:t>
            </w:r>
          </w:p>
        </w:tc>
      </w:tr>
      <w:tr>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Source extension</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Customer- or COTS-specific concept mapped to the ontology.</w:t>
            </w:r>
          </w:p>
        </w:tc>
      </w:tr>
      <w:tr>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Candidate</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Evidence-based proposal awaiting SME or steward approval.</w:t>
            </w:r>
          </w:p>
        </w:tc>
      </w:tr>
      <w:tr>
        <w:tc>
          <w:tcPr>
            <w:tcW w:type="dxa" w:w="19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Unresolved</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Insufficient evidence to classify reliably.</w:t>
            </w:r>
          </w:p>
        </w:tc>
      </w:tr>
    </w:tbl>
    <w:p>
      <w:pPr>
        <w:spacing w:before="0" w:after="60"/>
      </w:pPr>
    </w:p>
    <w:p>
      <w:pPr>
        <w:pStyle w:val="Heading1"/>
        <w:keepNext/>
      </w:pPr>
      <w:r>
        <w:t>7. Primary solution components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500"/>
        <w:gridCol w:w="2700"/>
        <w:gridCol w:w="6160"/>
      </w:tblGrid>
      <w:tr>
        <w:trPr>
          <w:tblHeader w:val="true"/>
        </w:trPr>
        <w:tc>
          <w:tcPr>
            <w:tcW w:type="dxa" w:w="5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w:t>
            </w:r>
          </w:p>
        </w:tc>
        <w:tc>
          <w:tcPr>
            <w:tcW w:type="dxa" w:w="27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Component</w:t>
            </w:r>
          </w:p>
        </w:tc>
        <w:tc>
          <w:tcPr>
            <w:tcW w:type="dxa" w:w="61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Primary responsibility</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Governed Knowledge Foundation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 P&amp;C ontology, COTS models, enterprise standards, glossaries, business rules, and prior approved decisions.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2</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Bronze Metadata Analyzer</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Examines schemas, columns, keys, relationships, distributions, and permitted evidence for semantic discovery.</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3</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Model Recognition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Matches observed structures to known product/module/version baselines and detects custom extensions.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4</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P&amp;C Semantic Classification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Classifies structures by domain, segment, LOB, product, coverage, business concept, and privacy class.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5</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 Recommendation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Maps to the standard ontology and proposes evidence-based specializations or extensions.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6</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 ODS Recommendation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Recommends canonical entities, attributes, keys, relationships, history, lineage, and privacy classification.</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7</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Gold Model/Data Product Recommendation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Recommends facts, dimensions, grain, measures, data products, and derived attributes.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8</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STTM and Mapping Recommendation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Produces Bronze-to-Silver and Silver-to-Gold mapping recommendations with transformation logic.</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9</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Business-Rule and Derivation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Extracts, relates, and recommends business rules and derivations while separating approved from inferred rules.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10</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 and Evidence Evaluation</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Evaluates evidence, completeness, confidence, contradictions, traceability, and approval readiness.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11</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Human Review Workbench</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Supports architect, SME/steward, and privacy-steward decisions and rationale capture.</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12</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Agent Orchestrator</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Coordinates context assembly, specialist agents, workflow state, and approval routing.</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13</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Governed Recommendation Repository</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Stores versioned recommendations, evidence, confidence, comments, and approvals.</w:t>
            </w:r>
          </w:p>
        </w:tc>
      </w:tr>
    </w:tbl>
    <w:p>
      <w:pPr>
        <w:spacing w:before="0" w:after="60"/>
      </w:pPr>
    </w:p>
    <w:p>
      <w:pPr>
        <w:pStyle w:val="Heading1"/>
        <w:keepNext/>
      </w:pPr>
      <w:r>
        <w:t>8. Agent design</w:t>
      </w:r>
    </w:p>
    <w:p>
      <w:pPr>
        <w:spacing w:before="0" w:after="120" w:line="264" w:lineRule="auto"/>
      </w:pPr>
      <w:r>
        <w:rPr>
          <w:rFonts w:ascii="Calibri" w:hAnsi="Calibri"/>
          <w:i w:val="0"/>
          <w:color w:val="000000"/>
          <w:sz w:val="22"/>
        </w:rPr>
        <w:t>The recommended design has seven logical agents: one orchestrator and six specialist agents. A logical agent is a responsibility and control boundary; it does not require a dedicated foundation-model deployment.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500"/>
        <w:gridCol w:w="2700"/>
        <w:gridCol w:w="6160"/>
      </w:tblGrid>
      <w:tr>
        <w:trPr>
          <w:tblHeader w:val="true"/>
        </w:trPr>
        <w:tc>
          <w:tcPr>
            <w:tcW w:type="dxa" w:w="5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w:t>
            </w:r>
          </w:p>
        </w:tc>
        <w:tc>
          <w:tcPr>
            <w:tcW w:type="dxa" w:w="27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Logical agent</w:t>
            </w:r>
          </w:p>
        </w:tc>
        <w:tc>
          <w:tcPr>
            <w:tcW w:type="dxa" w:w="61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Responsibility</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1</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Orchestrator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Controls workflow, context assembly, task routing, state, and approval escalation.</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2</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Intelligence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Analyzes source evidence, recognizes COTS structures, detects customizations, and proposes source classifications.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3</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 and Semantic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Maps source concepts to the standard ontology and proposes governed extensions.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4</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 ODS Modeling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Recommends canonical Silver entities, attributes, keys, relationships, history, lineage, and privacy classes.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5</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Gold Data Product Modeling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Recommends facts, dimensions, grain, measures, conformed dimensions, data products, and derived attributes.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6</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STTM and Business-Rule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Creates Bronze-to-Silver and Silver-to-Gold mappings, transformation recommendations, and rule specifications.</w:t>
            </w:r>
          </w:p>
        </w:tc>
      </w:tr>
      <w:tr>
        <w:tc>
          <w:tcPr>
            <w:tcW w:type="dxa" w:w="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7</w:t>
            </w:r>
          </w:p>
        </w:tc>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 and Review Agent</w:t>
            </w:r>
          </w:p>
        </w:tc>
        <w:tc>
          <w:tcPr>
            <w:tcW w:type="dxa" w:w="6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Tests evidence, confidence, completeness, consistency, and traceability; routes exceptions to people.</w:t>
            </w:r>
          </w:p>
        </w:tc>
      </w:tr>
    </w:tbl>
    <w:p>
      <w:pPr>
        <w:spacing w:before="0" w:after="60"/>
      </w:pPr>
    </w:p>
    <w:p>
      <w:pPr>
        <w:pStyle w:val="Heading2"/>
        <w:keepNext/>
      </w:pPr>
      <w:r>
        <w:t>8.1 Non-agent components</w:t>
      </w:r>
    </w:p>
    <w:p>
      <w:pPr>
        <w:spacing w:before="0" w:after="120" w:line="264" w:lineRule="auto"/>
      </w:pPr>
      <w:r>
        <w:rPr>
          <w:rFonts w:ascii="Calibri" w:hAnsi="Calibri"/>
          <w:i w:val="0"/>
          <w:color w:val="000000"/>
          <w:sz w:val="22"/>
        </w:rPr>
        <w:t>Knowledge stores, retrieval indexes, profiling utilities, recommendation repositories, evaluation datasets, review interfaces, and approval records are deterministic platform components. They should not be modeled as autonomous agents.</w:t>
      </w:r>
    </w:p>
    <w:p>
      <w:pPr>
        <w:pStyle w:val="Heading1"/>
        <w:keepNext/>
      </w:pPr>
      <w:r>
        <w:t>9. Context-engineering design</w:t>
      </w:r>
    </w:p>
    <w:p>
      <w:pPr>
        <w:spacing w:before="0" w:after="120" w:line="264" w:lineRule="auto"/>
      </w:pPr>
      <w:r>
        <w:rPr>
          <w:rFonts w:ascii="Calibri" w:hAnsi="Calibri"/>
          <w:i w:val="0"/>
          <w:color w:val="000000"/>
          <w:sz w:val="22"/>
        </w:rPr>
        <w:t>Context engineering controls what each agent is allowed to know and use at a particular step. The objective is to provide the smallest authoritative context package required for the task, with explicit scope, evidence, version, and approval state.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6360"/>
      </w:tblGrid>
      <w:tr>
        <w:trPr>
          <w:tblHeader w:val="true"/>
        </w:trPr>
        <w:tc>
          <w:tcPr>
            <w:tcW w:type="dxa" w:w="30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Context component</w:t>
            </w:r>
          </w:p>
        </w:tc>
        <w:tc>
          <w:tcPr>
            <w:tcW w:type="dxa" w:w="63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Purpose</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Domain and LOB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P&amp;C domains, hierarchy, concepts, terminology, and relationships.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Standard ontology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 concepts, definitions, relationships, specializations, synonyms, and lifecycle states.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COTS product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Authorized product/module/version models, documentation, ERDs, and known extension patterns.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Enterprise standards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Silver/Gold conventions, naming, keys, history, privacy taxonomy, and STTM requirements.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evidence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Observed Bronze metadata, relationships, profiles, masked values, notebooks, reports, and pipelines.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Project scope context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module, version, domain/LOB, deliverables, exclusions, assumptions, and approvers.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Retrieval and filtering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Structured and semantic retrieval filtered by platform, version, domain, LOB, layer, artifact type, and approval.</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Context assembly and routing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Task-specific context packages with objectives, constraints, evidence, output contract, and confidence rules.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Workflow and decision memory</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Approved/rejected decisions, open questions, prior recommendations, review comments, and task state.</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Evidence and provenance</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locations, document/version references, observed/inferred status, confidence, assumptions, and contradictions.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Structured output contracts</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Machine-reviewable schemas for ontology, models, STTM, rules, derivations, evidence, and approvals.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Context evaluation and feedback</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Checks retrieval fitness, evidence sufficiency, rule conflicts, and approved correction reuse.</w:t>
            </w:r>
          </w:p>
        </w:tc>
      </w:tr>
    </w:tbl>
    <w:p>
      <w:pPr>
        <w:spacing w:before="0" w:after="60"/>
      </w:pPr>
    </w:p>
    <w:p>
      <w:pPr>
        <w:pStyle w:val="Heading2"/>
        <w:keepNext/>
      </w:pPr>
      <w:r>
        <w:t>9.1 Agent-specific context packages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Agent</w:t>
            </w:r>
          </w:p>
        </w:tc>
        <w:tc>
          <w:tcPr>
            <w:tcW w:type="dxa" w:w="66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Minimum primary context</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Orchestrator</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Project scope, workflow state, agent contracts, approvals, and unresolved questions.</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Intelligence</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evidence, COTS models, product version, domain/LOB scope, and recognition criteria.</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 and Semantic</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Standard ontology, COTS terminology, source evidence, and approved semantic decisions.</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 ODS Modeling</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 semantic mapping, enterprise Silver standards, source lineage, history rules, and privacy taxonomy.</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Gold Data Product Modeling</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 Silver proposal, ontology, Gold standards, intended consumers, measures, and derivation rules.</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STTM and Business-Rule</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evidence, approved/proposed models, ontology, mapping standards, and rule corpus.</w:t>
            </w:r>
          </w:p>
        </w:tc>
      </w:tr>
      <w:tr>
        <w:tc>
          <w:tcPr>
            <w:tcW w:type="dxa" w:w="27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 and Review</w:t>
            </w:r>
          </w:p>
        </w:tc>
        <w:tc>
          <w:tcPr>
            <w:tcW w:type="dxa" w:w="66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All recommendations, evidence, confidence, contradictions, standards, and approval criteria.</w:t>
            </w:r>
          </w:p>
        </w:tc>
      </w:tr>
    </w:tbl>
    <w:p>
      <w:pPr>
        <w:spacing w:before="0" w:after="60"/>
      </w:pPr>
    </w:p>
    <w:p>
      <w:pPr>
        <w:pStyle w:val="Heading1"/>
        <w:keepNext/>
      </w:pPr>
      <w:r>
        <w:t>10. Source understanding without a data dictionary</w:t>
      </w:r>
    </w:p>
    <w:p>
      <w:pPr>
        <w:spacing w:before="0" w:after="120" w:line="264" w:lineRule="auto"/>
      </w:pPr>
      <w:r>
        <w:rPr>
          <w:rFonts w:ascii="Calibri" w:hAnsi="Calibri"/>
          <w:i w:val="0"/>
          <w:color w:val="000000"/>
          <w:sz w:val="22"/>
        </w:rPr>
        <w:t>A source data dictionary is optional and may not exist. When authoritative documentation is unavailable, the solution can use available governed evidence to propose candidate meaning, but it must never silently invent field semantics.</w:t>
      </w:r>
    </w:p>
    <w:p>
      <w:pPr>
        <w:pStyle w:val="Heading2"/>
        <w:keepNext/>
      </w:pPr>
      <w:r>
        <w:t>10.1 Permitted evidence</w:t>
      </w:r>
    </w:p>
    <w:p>
      <w:pPr>
        <w:numPr>
          <w:ilvl w:val="0"/>
          <w:numId w:val="90"/>
        </w:numPr>
      </w:pPr>
      <w:r>
        <w:rPr>
          <w:rFonts w:ascii="Calibri" w:hAnsi="Calibri"/>
          <w:color w:val="000000"/>
          <w:sz w:val="22"/>
        </w:rPr>
        <w:t>Catalog, schema, table, column, and data-type metadata.</w:t>
      </w:r>
    </w:p>
    <w:p>
      <w:pPr>
        <w:numPr>
          <w:ilvl w:val="0"/>
          <w:numId w:val="90"/>
        </w:numPr>
      </w:pPr>
      <w:r>
        <w:rPr>
          <w:rFonts w:ascii="Calibri" w:hAnsi="Calibri"/>
          <w:color w:val="000000"/>
          <w:sz w:val="22"/>
        </w:rPr>
        <w:t>Declared keys plus statistically inferred relationships.</w:t>
      </w:r>
    </w:p>
    <w:p>
      <w:pPr>
        <w:numPr>
          <w:ilvl w:val="0"/>
          <w:numId w:val="90"/>
        </w:numPr>
      </w:pPr>
      <w:r>
        <w:rPr>
          <w:rFonts w:ascii="Calibri" w:hAnsi="Calibri"/>
          <w:color w:val="000000"/>
          <w:sz w:val="22"/>
        </w:rPr>
        <w:t>Null rates, distinct counts, value distributions, and representative masked values.</w:t>
      </w:r>
    </w:p>
    <w:p>
      <w:pPr>
        <w:numPr>
          <w:ilvl w:val="0"/>
          <w:numId w:val="90"/>
        </w:numPr>
      </w:pPr>
      <w:r>
        <w:rPr>
          <w:rFonts w:ascii="Calibri" w:hAnsi="Calibri"/>
          <w:color w:val="000000"/>
          <w:sz w:val="22"/>
        </w:rPr>
        <w:t>Existing notebooks, queries, reports, semantic models, and pipelines.</w:t>
      </w:r>
    </w:p>
    <w:p>
      <w:pPr>
        <w:numPr>
          <w:ilvl w:val="0"/>
          <w:numId w:val="90"/>
        </w:numPr>
      </w:pPr>
      <w:r>
        <w:rPr>
          <w:rFonts w:ascii="Calibri" w:hAnsi="Calibri"/>
          <w:color w:val="000000"/>
          <w:sz w:val="22"/>
        </w:rPr>
        <w:t>Product/module/version matches against authorized COTS documentation.</w:t>
      </w:r>
    </w:p>
    <w:p>
      <w:pPr>
        <w:numPr>
          <w:ilvl w:val="0"/>
          <w:numId w:val="90"/>
        </w:numPr>
      </w:pPr>
      <w:r>
        <w:rPr>
          <w:rFonts w:ascii="Calibri" w:hAnsi="Calibri"/>
          <w:color w:val="000000"/>
          <w:sz w:val="22"/>
        </w:rPr>
        <w:t>Previously approved enterprise mappings, ontology decisions, and business rules.</w:t>
      </w:r>
    </w:p>
    <w:p>
      <w:pPr>
        <w:pStyle w:val="Heading2"/>
        <w:keepNext/>
      </w:pPr>
      <w:r>
        <w:t>10.2 Required inference controls</w:t>
      </w:r>
    </w:p>
    <w:p>
      <w:pPr>
        <w:numPr>
          <w:ilvl w:val="0"/>
          <w:numId w:val="90"/>
        </w:numPr>
      </w:pPr>
      <w:r>
        <w:rPr>
          <w:rFonts w:ascii="Calibri" w:hAnsi="Calibri"/>
          <w:color w:val="000000"/>
          <w:sz w:val="22"/>
        </w:rPr>
        <w:t>Separate observed facts from inferred meaning.</w:t>
      </w:r>
    </w:p>
    <w:p>
      <w:pPr>
        <w:numPr>
          <w:ilvl w:val="0"/>
          <w:numId w:val="90"/>
        </w:numPr>
      </w:pPr>
      <w:r>
        <w:rPr>
          <w:rFonts w:ascii="Calibri" w:hAnsi="Calibri"/>
          <w:color w:val="000000"/>
          <w:sz w:val="22"/>
        </w:rPr>
        <w:t>Retain the evidence used for each inference.</w:t>
      </w:r>
    </w:p>
    <w:p>
      <w:pPr>
        <w:numPr>
          <w:ilvl w:val="0"/>
          <w:numId w:val="90"/>
        </w:numPr>
      </w:pPr>
      <w:r>
        <w:rPr>
          <w:rFonts w:ascii="Calibri" w:hAnsi="Calibri"/>
          <w:color w:val="000000"/>
          <w:sz w:val="22"/>
        </w:rPr>
        <w:t>Assign confidence using defined and testable criteria.</w:t>
      </w:r>
    </w:p>
    <w:p>
      <w:pPr>
        <w:numPr>
          <w:ilvl w:val="0"/>
          <w:numId w:val="90"/>
        </w:numPr>
      </w:pPr>
      <w:r>
        <w:rPr>
          <w:rFonts w:ascii="Calibri" w:hAnsi="Calibri"/>
          <w:color w:val="000000"/>
          <w:sz w:val="22"/>
        </w:rPr>
        <w:t>Expose contradictory evidence rather than selecting an unsupported answer.</w:t>
      </w:r>
    </w:p>
    <w:p>
      <w:pPr>
        <w:numPr>
          <w:ilvl w:val="0"/>
          <w:numId w:val="90"/>
        </w:numPr>
      </w:pPr>
      <w:r>
        <w:rPr>
          <w:rFonts w:ascii="Calibri" w:hAnsi="Calibri"/>
          <w:color w:val="000000"/>
          <w:sz w:val="22"/>
        </w:rPr>
        <w:t>Mark insufficiently supported semantics as unresolved.</w:t>
      </w:r>
    </w:p>
    <w:p>
      <w:pPr>
        <w:numPr>
          <w:ilvl w:val="0"/>
          <w:numId w:val="90"/>
        </w:numPr>
      </w:pPr>
      <w:r>
        <w:rPr>
          <w:rFonts w:ascii="Calibri" w:hAnsi="Calibri"/>
          <w:color w:val="000000"/>
          <w:sz w:val="22"/>
        </w:rPr>
        <w:t>Require an authorized steward to approve low-confidence or business-critical interpretations.</w:t>
      </w:r>
    </w:p>
    <w:p>
      <w:pPr>
        <w:pStyle w:val="Heading1"/>
        <w:keepNext/>
      </w:pPr>
      <w:r>
        <w:t>11. End-to-end logical workflow</w:t>
      </w:r>
    </w:p>
    <w:p>
      <w:pPr>
        <w:numPr>
          <w:ilvl w:val="0"/>
          <w:numId w:val="91"/>
        </w:numPr>
      </w:pPr>
      <w:r>
        <w:rPr>
          <w:rFonts w:ascii="Calibri" w:hAnsi="Calibri"/>
          <w:color w:val="000000"/>
          <w:sz w:val="22"/>
        </w:rPr>
        <w:t>Establish project scope: source platform, product/module/version, target domains and LOBs, modeling objectives, exclusions, and approvers.</w:t>
      </w:r>
    </w:p>
    <w:p>
      <w:pPr>
        <w:numPr>
          <w:ilvl w:val="0"/>
          <w:numId w:val="91"/>
        </w:numPr>
      </w:pPr>
      <w:r>
        <w:rPr>
          <w:rFonts w:ascii="Calibri" w:hAnsi="Calibri"/>
          <w:color w:val="000000"/>
          <w:sz w:val="22"/>
        </w:rPr>
        <w:t>Retrieve the relevant governed P&amp;C ontology, COTS reference model, enterprise standards, and prior approved decisions.</w:t>
      </w:r>
    </w:p>
    <w:p>
      <w:pPr>
        <w:numPr>
          <w:ilvl w:val="0"/>
          <w:numId w:val="91"/>
        </w:numPr>
      </w:pPr>
      <w:r>
        <w:rPr>
          <w:rFonts w:ascii="Calibri" w:hAnsi="Calibri"/>
          <w:color w:val="000000"/>
          <w:sz w:val="22"/>
        </w:rPr>
        <w:t>Analyze available Bronze metadata and permitted profiling evidence without performing ingestion.</w:t>
      </w:r>
    </w:p>
    <w:p>
      <w:pPr>
        <w:numPr>
          <w:ilvl w:val="0"/>
          <w:numId w:val="91"/>
        </w:numPr>
      </w:pPr>
      <w:r>
        <w:rPr>
          <w:rFonts w:ascii="Calibri" w:hAnsi="Calibri"/>
          <w:color w:val="000000"/>
          <w:sz w:val="22"/>
        </w:rPr>
        <w:t>Recognize standard COTS structures, identify customer customizations, and flag unmatched elements.</w:t>
      </w:r>
    </w:p>
    <w:p>
      <w:pPr>
        <w:numPr>
          <w:ilvl w:val="0"/>
          <w:numId w:val="91"/>
        </w:numPr>
      </w:pPr>
      <w:r>
        <w:rPr>
          <w:rFonts w:ascii="Calibri" w:hAnsi="Calibri"/>
          <w:color w:val="000000"/>
          <w:sz w:val="22"/>
        </w:rPr>
        <w:t>Classify source structures against P&amp;C domains, segment/LOB/product/coverage, ontology concepts, and privacy classes.</w:t>
      </w:r>
    </w:p>
    <w:p>
      <w:pPr>
        <w:numPr>
          <w:ilvl w:val="0"/>
          <w:numId w:val="91"/>
        </w:numPr>
      </w:pPr>
      <w:r>
        <w:rPr>
          <w:rFonts w:ascii="Calibri" w:hAnsi="Calibri"/>
          <w:color w:val="000000"/>
          <w:sz w:val="22"/>
        </w:rPr>
        <w:t>Recommend evidence-based ontology mappings and candidate extensions.</w:t>
      </w:r>
    </w:p>
    <w:p>
      <w:pPr>
        <w:numPr>
          <w:ilvl w:val="0"/>
          <w:numId w:val="91"/>
        </w:numPr>
      </w:pPr>
      <w:r>
        <w:rPr>
          <w:rFonts w:ascii="Calibri" w:hAnsi="Calibri"/>
          <w:color w:val="000000"/>
          <w:sz w:val="22"/>
        </w:rPr>
        <w:t>Recommend the source-independent Silver ODS model.</w:t>
      </w:r>
    </w:p>
    <w:p>
      <w:pPr>
        <w:numPr>
          <w:ilvl w:val="0"/>
          <w:numId w:val="91"/>
        </w:numPr>
      </w:pPr>
      <w:r>
        <w:rPr>
          <w:rFonts w:ascii="Calibri" w:hAnsi="Calibri"/>
          <w:color w:val="000000"/>
          <w:sz w:val="22"/>
        </w:rPr>
        <w:t>Recommend Gold dimensional models/data products and expected derived attributes.</w:t>
      </w:r>
    </w:p>
    <w:p>
      <w:pPr>
        <w:numPr>
          <w:ilvl w:val="0"/>
          <w:numId w:val="91"/>
        </w:numPr>
      </w:pPr>
      <w:r>
        <w:rPr>
          <w:rFonts w:ascii="Calibri" w:hAnsi="Calibri"/>
          <w:color w:val="000000"/>
          <w:sz w:val="22"/>
        </w:rPr>
        <w:t>Produce Bronze-to-Silver and Silver-to-Gold STTM recommendations and business-rule specifications.</w:t>
      </w:r>
    </w:p>
    <w:p>
      <w:pPr>
        <w:numPr>
          <w:ilvl w:val="0"/>
          <w:numId w:val="91"/>
        </w:numPr>
      </w:pPr>
      <w:r>
        <w:rPr>
          <w:rFonts w:ascii="Calibri" w:hAnsi="Calibri"/>
          <w:color w:val="000000"/>
          <w:sz w:val="22"/>
        </w:rPr>
        <w:t>Evaluate evidence, confidence, completeness, consistency, and traceability.</w:t>
      </w:r>
    </w:p>
    <w:p>
      <w:pPr>
        <w:numPr>
          <w:ilvl w:val="0"/>
          <w:numId w:val="91"/>
        </w:numPr>
      </w:pPr>
      <w:r>
        <w:rPr>
          <w:rFonts w:ascii="Calibri" w:hAnsi="Calibri"/>
          <w:color w:val="000000"/>
          <w:sz w:val="22"/>
        </w:rPr>
        <w:t>Route ambiguous or material decisions to the appropriate human reviewer.</w:t>
      </w:r>
    </w:p>
    <w:p>
      <w:pPr>
        <w:numPr>
          <w:ilvl w:val="0"/>
          <w:numId w:val="91"/>
        </w:numPr>
      </w:pPr>
      <w:r>
        <w:rPr>
          <w:rFonts w:ascii="Calibri" w:hAnsi="Calibri"/>
          <w:color w:val="000000"/>
          <w:sz w:val="22"/>
        </w:rPr>
        <w:t>Version approved decisions and make them available as governed context for later work.</w:t>
      </w:r>
    </w:p>
    <w:p>
      <w:pPr>
        <w:pStyle w:val="Heading1"/>
        <w:keepNext/>
      </w:pPr>
      <w:r>
        <w:t>12. Recommendation outputs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6360"/>
      </w:tblGrid>
      <w:tr>
        <w:trPr>
          <w:tblHeader w:val="true"/>
        </w:trPr>
        <w:tc>
          <w:tcPr>
            <w:tcW w:type="dxa" w:w="30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Output</w:t>
            </w:r>
          </w:p>
        </w:tc>
        <w:tc>
          <w:tcPr>
            <w:tcW w:type="dxa" w:w="63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Required content</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observation catalog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Observed source metadata, COTS recognition, customizations, inferred relationships, evidence, and confidence.</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 mapping package</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Source-to-standard concept mappings, synonyms, specializations, extensions, unresolved concepts, and approval state.</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 ODS recommendation</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Canonical entities, attributes, keys, relationships, history, lineage, assumptions, and privacy classes.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Gold model/data-product recommendation</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Facts, dimensions, grain, measures, conformed dimensions, products, and derived attributes.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STTM package</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Bronze-to-Silver and Silver-to-Gold attribute mappings, transformation recommendations, rules, evidence, and approvals.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Business-rule catalog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Approved, inferred, conflicting, and unresolved rules with domain/LOB applicability and traceability.</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 assessment</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Completeness, evidence sufficiency, confidence, contradictions, unresolved items, and approval readiness.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Decision and approval record</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Reviewer decisions, rationale, comments, ownership, timestamps, and version history.</w:t>
            </w:r>
          </w:p>
        </w:tc>
      </w:tr>
    </w:tbl>
    <w:p>
      <w:pPr>
        <w:spacing w:before="0" w:after="60"/>
      </w:pPr>
    </w:p>
    <w:p>
      <w:pPr>
        <w:pStyle w:val="Heading2"/>
        <w:keepNext/>
      </w:pPr>
      <w:r>
        <w:t>12.1 Minimum STTM record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Field group</w:t>
            </w:r>
          </w:p>
        </w:tc>
        <w:tc>
          <w:tcPr>
            <w:tcW w:type="dxa" w:w="71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Required fields</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Scope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system, product/module/version, domain, LOB, and mapping layer.</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object, source attribute, physical type, and observed description/evidence.</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Target</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Target object, target attribute, type, layer, and ontology concept.</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Logic</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Transformation recommendation, business-rule reference, and derivation description.</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Observed/inferred status, evidence, confidence, assumptions, contradictions, and open questions.</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Governance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Privacy classification, owner, reviewer, approval status, rationale, and version.</w:t>
            </w:r>
          </w:p>
        </w:tc>
      </w:tr>
    </w:tbl>
    <w:p>
      <w:pPr>
        <w:spacing w:before="0" w:after="60"/>
      </w:pPr>
    </w:p>
    <w:p>
      <w:pPr>
        <w:pStyle w:val="Heading1"/>
        <w:keepNext/>
      </w:pPr>
      <w:r>
        <w:t>13. Trust and human approval</w:t>
      </w:r>
    </w:p>
    <w:p>
      <w:pPr>
        <w:spacing w:before="0" w:after="120" w:line="264" w:lineRule="auto"/>
      </w:pPr>
      <w:r>
        <w:rPr>
          <w:rFonts w:ascii="Calibri" w:hAnsi="Calibri"/>
          <w:i w:val="0"/>
          <w:color w:val="000000"/>
          <w:sz w:val="22"/>
        </w:rPr>
        <w:t>Trust is established through traceability and controlled approval, not through autonomous agent consensus. The solution assesses whether recommendations are adequately supported and makes uncertainty visible.</w:t>
      </w:r>
    </w:p>
    <w:p>
      <w:pPr>
        <w:pStyle w:val="Heading2"/>
        <w:keepNext/>
      </w:pPr>
      <w:r>
        <w:t>13.1 Human roles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trPr>
        <w:tc>
          <w:tcPr>
            <w:tcW w:type="dxa" w:w="25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Role</w:t>
            </w:r>
          </w:p>
        </w:tc>
        <w:tc>
          <w:tcPr>
            <w:tcW w:type="dxa" w:w="68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Approval responsibility</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Data architect</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Approves target-model structure, canonicalization, grain, keys, relationships, and modeling standards.</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Domain SME / data steward</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Approves business meaning, ontology mappings, rules, derivations, and domain/LOB applicability.</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Privacy steward</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Approves privacy classifications and classification rationale.</w:t>
            </w:r>
          </w:p>
        </w:tc>
      </w:tr>
    </w:tbl>
    <w:p>
      <w:pPr>
        <w:spacing w:before="0" w:after="60"/>
      </w:pPr>
    </w:p>
    <w:p>
      <w:pPr>
        <w:pStyle w:val="Heading2"/>
        <w:keepNext/>
      </w:pPr>
      <w:r>
        <w:t>13.2 Trust states</w:t>
      </w:r>
    </w:p>
    <w:p>
      <w:pPr>
        <w:numPr>
          <w:ilvl w:val="0"/>
          <w:numId w:val="90"/>
        </w:numPr>
      </w:pPr>
      <w:r>
        <w:rPr>
          <w:rFonts w:ascii="Calibri" w:hAnsi="Calibri"/>
          <w:color w:val="000000"/>
          <w:sz w:val="22"/>
        </w:rPr>
        <w:t>Proposed — generated by an agent and not yet reviewed.</w:t>
      </w:r>
    </w:p>
    <w:p>
      <w:pPr>
        <w:numPr>
          <w:ilvl w:val="0"/>
          <w:numId w:val="90"/>
        </w:numPr>
      </w:pPr>
      <w:r>
        <w:rPr>
          <w:rFonts w:ascii="Calibri" w:hAnsi="Calibri"/>
          <w:color w:val="000000"/>
          <w:sz w:val="22"/>
        </w:rPr>
        <w:t>Needs clarification — insufficient or contradictory evidence.</w:t>
      </w:r>
    </w:p>
    <w:p>
      <w:pPr>
        <w:numPr>
          <w:ilvl w:val="0"/>
          <w:numId w:val="90"/>
        </w:numPr>
      </w:pPr>
      <w:r>
        <w:rPr>
          <w:rFonts w:ascii="Calibri" w:hAnsi="Calibri"/>
          <w:color w:val="000000"/>
          <w:sz w:val="22"/>
        </w:rPr>
        <w:t>Reviewed — assessed by an authorized reviewer but not finally approved.</w:t>
      </w:r>
    </w:p>
    <w:p>
      <w:pPr>
        <w:numPr>
          <w:ilvl w:val="0"/>
          <w:numId w:val="90"/>
        </w:numPr>
      </w:pPr>
      <w:r>
        <w:rPr>
          <w:rFonts w:ascii="Calibri" w:hAnsi="Calibri"/>
          <w:color w:val="000000"/>
          <w:sz w:val="22"/>
        </w:rPr>
        <w:t>Approved — authoritative for the defined scope and version.</w:t>
      </w:r>
    </w:p>
    <w:p>
      <w:pPr>
        <w:numPr>
          <w:ilvl w:val="0"/>
          <w:numId w:val="90"/>
        </w:numPr>
      </w:pPr>
      <w:r>
        <w:rPr>
          <w:rFonts w:ascii="Calibri" w:hAnsi="Calibri"/>
          <w:color w:val="000000"/>
          <w:sz w:val="22"/>
        </w:rPr>
        <w:t>Rejected — not accepted; rationale retained to prevent repeated proposals.</w:t>
      </w:r>
    </w:p>
    <w:p>
      <w:pPr>
        <w:numPr>
          <w:ilvl w:val="0"/>
          <w:numId w:val="90"/>
        </w:numPr>
      </w:pPr>
      <w:r>
        <w:rPr>
          <w:rFonts w:ascii="Calibri" w:hAnsi="Calibri"/>
          <w:color w:val="000000"/>
          <w:sz w:val="22"/>
        </w:rPr>
        <w:t>Superseded — replaced by a later approved version.</w:t>
      </w:r>
    </w:p>
    <w:p>
      <w:pPr>
        <w:pStyle w:val="Heading1"/>
        <w:keepNext/>
      </w:pPr>
      <w:r>
        <w:t>14. Databricks fit-for-purpose component mapping</w:t>
      </w:r>
    </w:p>
    <w:p>
      <w:pPr>
        <w:spacing w:before="0" w:after="120" w:line="264" w:lineRule="auto"/>
      </w:pPr>
      <w:r>
        <w:rPr>
          <w:rFonts w:ascii="Calibri" w:hAnsi="Calibri"/>
          <w:i w:val="0"/>
          <w:color w:val="000000"/>
          <w:sz w:val="22"/>
        </w:rPr>
        <w:t>All listed Databricks capabilities are available for consideration. The final implementation should use only those capabilities justified by the selected workload, scale, governance requirements, and operating model.</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6360"/>
      </w:tblGrid>
      <w:tr>
        <w:trPr>
          <w:tblHeader w:val="true"/>
        </w:trPr>
        <w:tc>
          <w:tcPr>
            <w:tcW w:type="dxa" w:w="30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Capability</w:t>
            </w:r>
          </w:p>
        </w:tc>
        <w:tc>
          <w:tcPr>
            <w:tcW w:type="dxa" w:w="63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Fit-for-purpose role</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Unity Catalog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Governed metadata, ownership, lineage references, classifications, glossary/ontology assets, and recommendation access controls.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Delta Lake</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Versioned knowledge, source observations, recommendation records, workflow state, evidence, and approvals.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Mosaic AI Agent Framework / Model Serving</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Databricks-hosted agent reasoning, tool use, and controlled model serving.</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Vector Search</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Semantic retrieval over approved COTS documentation, ontology content, standards, rules, and prior decisions.</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MLflow</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Prompt/model versioning, evaluation datasets, confidence/evidence evaluation, and traceability of agent behavior.</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Lakeflow Workflows</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Orchestration of context assembly, agent tasks, evaluation, and human-review routing.</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Databricks SQL</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Governed source profiling queries, recommendation review, metrics, and review workbench support.</w:t>
            </w:r>
          </w:p>
        </w:tc>
      </w:tr>
      <w:tr>
        <w:tc>
          <w:tcPr>
            <w:tcW w:type="dxa" w:w="3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System tables</w:t>
            </w:r>
          </w:p>
        </w:tc>
        <w:tc>
          <w:tcPr>
            <w:tcW w:type="dxa" w:w="6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Operational audit and usage evidence where applicable to the implemented solution.</w:t>
            </w:r>
          </w:p>
        </w:tc>
      </w:tr>
    </w:tbl>
    <w:p>
      <w:pPr>
        <w:spacing w:before="0" w:after="60"/>
      </w:pPr>
    </w:p>
    <w:p>
      <w:pPr>
        <w:pStyle w:val="Heading1"/>
        <w:keepNext/>
      </w:pPr>
      <w:r>
        <w:t>15. Non-functional design principles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Principle</w:t>
            </w:r>
          </w:p>
        </w:tc>
        <w:tc>
          <w:tcPr>
            <w:tcW w:type="dxa" w:w="71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Design implication</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Grounded</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Use authorized evidence and approved knowledge; do not rely on plausible but unverified model memory.</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Traceable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Link every material recommendation to source evidence, knowledge versions, rules, and decisions.</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Scoped</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Retrieve and reason only within the relevant product, module, version, domain, LOB, and target layer.</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Reviewable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Use structured outputs and explicit uncertainty so people can efficiently accept, modify, reject, or defer.</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Versioned</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Retain recommendation, knowledge, context, prompt/model, and approval versions.</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Extensible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Support additional approved P&amp;C products and LOBs through governed knowledge packs—not ingestion adapters.</w:t>
            </w:r>
          </w:p>
        </w:tc>
      </w:tr>
      <w:t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Recommendation-only</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Prevent autonomous deployment or implementation execution.</w:t>
            </w:r>
          </w:p>
        </w:tc>
      </w:tr>
    </w:tbl>
    <w:p>
      <w:pPr>
        <w:spacing w:before="0" w:after="60"/>
      </w:pPr>
    </w:p>
    <w:p>
      <w:pPr>
        <w:pStyle w:val="Heading1"/>
        <w:keepNext/>
      </w:pPr>
      <w:r>
        <w:t>16. Acceptance criteria</w:t>
      </w:r>
    </w:p>
    <w:p>
      <w:pPr>
        <w:numPr>
          <w:ilvl w:val="0"/>
          <w:numId w:val="90"/>
        </w:numPr>
      </w:pPr>
      <w:r>
        <w:rPr>
          <w:rFonts w:ascii="Calibri" w:hAnsi="Calibri"/>
          <w:color w:val="000000"/>
          <w:sz w:val="22"/>
        </w:rPr>
        <w:t>The solution can scope a modeling exercise by source platform, product/module/version, domain, LOB, and target layer.</w:t>
      </w:r>
    </w:p>
    <w:p>
      <w:pPr>
        <w:numPr>
          <w:ilvl w:val="0"/>
          <w:numId w:val="90"/>
        </w:numPr>
      </w:pPr>
      <w:r>
        <w:rPr>
          <w:rFonts w:ascii="Calibri" w:hAnsi="Calibri"/>
          <w:color w:val="000000"/>
          <w:sz w:val="22"/>
        </w:rPr>
        <w:t>The solution retrieves only governed, relevant knowledge and records the versions used.</w:t>
      </w:r>
    </w:p>
    <w:p>
      <w:pPr>
        <w:numPr>
          <w:ilvl w:val="0"/>
          <w:numId w:val="90"/>
        </w:numPr>
      </w:pPr>
      <w:r>
        <w:rPr>
          <w:rFonts w:ascii="Calibri" w:hAnsi="Calibri"/>
          <w:color w:val="000000"/>
          <w:sz w:val="22"/>
        </w:rPr>
        <w:t>Standard ontology concepts are distinguished from specializations, source extensions, candidates, and unresolved concepts.</w:t>
      </w:r>
    </w:p>
    <w:p>
      <w:pPr>
        <w:numPr>
          <w:ilvl w:val="0"/>
          <w:numId w:val="90"/>
        </w:numPr>
      </w:pPr>
      <w:r>
        <w:rPr>
          <w:rFonts w:ascii="Calibri" w:hAnsi="Calibri"/>
          <w:color w:val="000000"/>
          <w:sz w:val="22"/>
        </w:rPr>
        <w:t>Observed source facts are distinguishable from inferred semantic conclusions.</w:t>
      </w:r>
    </w:p>
    <w:p>
      <w:pPr>
        <w:numPr>
          <w:ilvl w:val="0"/>
          <w:numId w:val="90"/>
        </w:numPr>
      </w:pPr>
      <w:r>
        <w:rPr>
          <w:rFonts w:ascii="Calibri" w:hAnsi="Calibri"/>
          <w:color w:val="000000"/>
          <w:sz w:val="22"/>
        </w:rPr>
        <w:t>Silver, Gold, ontology, STTM, business-rule, derived-attribute, and privacy-classification recommendations follow structured output contracts.</w:t>
      </w:r>
    </w:p>
    <w:p>
      <w:pPr>
        <w:numPr>
          <w:ilvl w:val="0"/>
          <w:numId w:val="90"/>
        </w:numPr>
      </w:pPr>
      <w:r>
        <w:rPr>
          <w:rFonts w:ascii="Calibri" w:hAnsi="Calibri"/>
          <w:color w:val="000000"/>
          <w:sz w:val="22"/>
        </w:rPr>
        <w:t>Every material recommendation includes evidence, confidence, assumptions, contradictions, and approval status.</w:t>
      </w:r>
    </w:p>
    <w:p>
      <w:pPr>
        <w:numPr>
          <w:ilvl w:val="0"/>
          <w:numId w:val="90"/>
        </w:numPr>
      </w:pPr>
      <w:r>
        <w:rPr>
          <w:rFonts w:ascii="Calibri" w:hAnsi="Calibri"/>
          <w:color w:val="000000"/>
          <w:sz w:val="22"/>
        </w:rPr>
        <w:t>Low-confidence or conflicting interpretations are routed to the correct reviewer rather than silently resolved.</w:t>
      </w:r>
    </w:p>
    <w:p>
      <w:pPr>
        <w:numPr>
          <w:ilvl w:val="0"/>
          <w:numId w:val="90"/>
        </w:numPr>
      </w:pPr>
      <w:r>
        <w:rPr>
          <w:rFonts w:ascii="Calibri" w:hAnsi="Calibri"/>
          <w:color w:val="000000"/>
          <w:sz w:val="22"/>
        </w:rPr>
        <w:t>Agents cannot generate deployment-ready code or publish recommendations as authoritative without human approval.</w:t>
      </w:r>
    </w:p>
    <w:p>
      <w:pPr>
        <w:numPr>
          <w:ilvl w:val="0"/>
          <w:numId w:val="90"/>
        </w:numPr>
      </w:pPr>
      <w:r>
        <w:rPr>
          <w:rFonts w:ascii="Calibri" w:hAnsi="Calibri"/>
          <w:color w:val="000000"/>
          <w:sz w:val="22"/>
        </w:rPr>
        <w:t>Approved and rejected decisions are versioned and can be reused to reduce inconsistency across later projects.</w:t>
      </w:r>
    </w:p>
    <w:p>
      <w:pPr>
        <w:numPr>
          <w:ilvl w:val="0"/>
          <w:numId w:val="90"/>
        </w:numPr>
      </w:pPr>
      <w:r>
        <w:rPr>
          <w:rFonts w:ascii="Calibri" w:hAnsi="Calibri"/>
          <w:color w:val="000000"/>
          <w:sz w:val="22"/>
        </w:rPr>
        <w:t>No source-ingestion or conversion-execution capability is introduced into the solution boundary.</w:t>
      </w:r>
    </w:p>
    <w:p>
      <w:pPr>
        <w:pStyle w:val="Heading1"/>
        <w:keepNext/>
      </w:pPr>
      <w:r>
        <w:t>17. Assumptions and dependencies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trPr>
        <w:tc>
          <w:tcPr>
            <w:tcW w:type="dxa" w:w="25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Dependency</w:t>
            </w:r>
          </w:p>
        </w:tc>
        <w:tc>
          <w:tcPr>
            <w:tcW w:type="dxa" w:w="68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Assumption</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Authorized knowledge</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Relevant COTS and enterprise documentation can be placed inside the governed Databricks environment.</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 access</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The solution receives read-only access to approved metadata and permitted profiling evidence.</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Product identity</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The project can provide or confirm product, module, and version where known.</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Human ownership</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Named architects, domain SMEs/data stewards, and privacy stewards are available to review decisions.</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 stewardship</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An accountable team owns the standardized P&amp;C ontology and approves extensions.</w:t>
            </w:r>
          </w:p>
        </w:tc>
      </w:tr>
      <w:tr>
        <w:tc>
          <w:tcPr>
            <w:tcW w:type="dxa" w:w="25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Model standards</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Enterprise Silver, Gold, STTM, and privacy-classification standards are available or will be established.</w:t>
            </w:r>
          </w:p>
        </w:tc>
      </w:tr>
    </w:tbl>
    <w:p>
      <w:pPr>
        <w:spacing w:before="0" w:after="60"/>
      </w:pPr>
    </w:p>
    <w:p>
      <w:pPr>
        <w:pStyle w:val="Heading1"/>
        <w:keepNext/>
      </w:pPr>
      <w:r>
        <w:t>18. Remaining design decisions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100"/>
        <w:gridCol w:w="8260"/>
      </w:tblGrid>
      <w:tr>
        <w:trPr>
          <w:tblHeader w:val="true"/>
        </w:trPr>
        <w:tc>
          <w:tcPr>
            <w:tcW w:type="dxa" w:w="11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ID</w:t>
            </w:r>
          </w:p>
        </w:tc>
        <w:tc>
          <w:tcPr>
            <w:tcW w:type="dxa" w:w="82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Decision required</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R-01</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Which initial source product, module, and version will be used for the first implementation?</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R-02</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Which domains and LOBs will form the first release boundary?</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R-03</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Which ontology standard or enterprise baseline will be adopted, and who owns it?</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R-04</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What confidence method and thresholds will control automatic progression versus mandatory review?</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R-05</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What exact review interface and approval workflow will be used inside Databricks?</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R-06</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What output exchange formats are required for ontology, Silver/Gold recommendations, and STTM packages?</w:t>
            </w:r>
          </w:p>
        </w:tc>
      </w:tr>
      <w:tr>
        <w:tc>
          <w:tcPr>
            <w:tcW w:type="dxa" w:w="11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R-07</w:t>
            </w:r>
          </w:p>
        </w:tc>
        <w:tc>
          <w:tcPr>
            <w:tcW w:type="dxa" w:w="82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8"/>
              </w:rPr>
              <w:t>Which Databricks model endpoint and approved models will be used for each logical agent role?</w:t>
            </w:r>
          </w:p>
        </w:tc>
      </w:tr>
      <w:tr>
        <w:tc>
          <w:tcPr>
            <w:tcW w:type="dxa" w:w="1100"/>
          </w:tcPr>
          <w:p>
            <w:r>
              <w:t>R-08</w:t>
            </w:r>
          </w:p>
        </w:tc>
        <w:tc>
          <w:tcPr>
            <w:tcW w:type="dxa" w:w="8260"/>
          </w:tcPr>
          <w:p>
            <w:r>
              <w:t>Which workflow topology will be used for the first implementation: event-driven durable orchestration, scheduled batch, or synchronous request/response?</w:t>
            </w:r>
          </w:p>
        </w:tc>
      </w:tr>
      <w:tr>
        <w:tc>
          <w:tcPr>
            <w:tcW w:type="dxa" w:w="1100"/>
          </w:tcPr>
          <w:p>
            <w:r>
              <w:t>R-09</w:t>
            </w:r>
          </w:p>
        </w:tc>
        <w:tc>
          <w:tcPr>
            <w:tcW w:type="dxa" w:w="8260"/>
          </w:tcPr>
          <w:p>
            <w:r>
              <w:t>What evidence classes may be retrieved or indexed, and what sanitization and approval controls apply to protected or narrative data?</w:t>
            </w:r>
          </w:p>
        </w:tc>
      </w:tr>
      <w:tr>
        <w:tc>
          <w:tcPr>
            <w:tcW w:type="dxa" w:w="1100"/>
          </w:tcPr>
          <w:p>
            <w:r>
              <w:t>R-10</w:t>
            </w:r>
          </w:p>
        </w:tc>
        <w:tc>
          <w:tcPr>
            <w:tcW w:type="dxa" w:w="8260"/>
          </w:tcPr>
          <w:p>
            <w:r>
              <w:t>What measurable quality, reviewer-throughput, cost, and latency thresholds define first-release success?</w:t>
            </w:r>
          </w:p>
        </w:tc>
      </w:tr>
    </w:tbl>
    <w:p>
      <w:pPr>
        <w:spacing w:before="0" w:after="60"/>
      </w:pPr>
    </w:p>
    <w:p>
      <w:pPr>
        <w:pStyle w:val="Heading1"/>
      </w:pPr>
      <w:r>
        <w:t>19. Design-review updates</w:t>
      </w:r>
    </w:p>
    <w:p>
      <w:r>
        <w:t>This section converts the design-review observations into explicit controls. These controls refine the v0.1 logical design without changing its recommendation-only boundary.</w:t>
      </w:r>
    </w:p>
    <w:p>
      <w:pPr>
        <w:pStyle w:val="Heading2"/>
      </w:pPr>
      <w:r>
        <w:t>19.1 Confidence, review routing, and calibration</w:t>
      </w:r>
    </w:p>
    <w:p>
      <w:pPr>
        <w:pStyle w:val="ListBullet"/>
      </w:pPr>
      <w:r>
        <w:t>Confidence is calculated from evidence quality and agreement: retrieval fit, metadata-pattern strength, COTS-model match, business-rule consistency, contradiction checks, and historical reviewer outcomes. An LLM may explain the score but must not self-certify it.</w:t>
      </w:r>
    </w:p>
    <w:p>
      <w:pPr>
        <w:pStyle w:val="ListBullet"/>
      </w:pPr>
      <w:r>
        <w:t>Confidence is stored at recommendation and attribute level with its component reasons, evidence references, assumptions, and contradictions. The method is evaluated against a labelled reviewer-decision set and recalibrated when observed error rates drift.</w:t>
      </w:r>
    </w:p>
    <w:p>
      <w:pPr>
        <w:pStyle w:val="ListBullet"/>
      </w:pPr>
      <w:r>
        <w:t>Confidence may permit automatic progression to the next analysis task when evidence is sufficient. It never permits autonomous implementation, publication as authoritative, or bypass of required architect, steward, or privacy review.</w:t>
      </w:r>
    </w:p>
    <w:p>
      <w:pPr>
        <w:pStyle w:val="Heading2"/>
      </w:pPr>
      <w:r>
        <w:t>19.2 Workflow execution, iteration, and recovery</w:t>
      </w:r>
    </w:p>
    <w:p>
      <w:pPr>
        <w:pStyle w:val="ListBullet"/>
      </w:pPr>
      <w:r>
        <w:t>The orchestrator manages durable workflow runs with a unique run ID, an immutable scope version, and idempotent task execution. Each agent writes versioned outputs and a clear task state: pending, running, completed, needs-clarification, failed, or superseded.</w:t>
      </w:r>
    </w:p>
    <w:p>
      <w:pPr>
        <w:pStyle w:val="ListBullet"/>
      </w:pPr>
      <w:r>
        <w:t>A reviewer rejection or new evidence invalidates only the affected artifact and its dependent downstream artifacts. For example, a rejected Silver entity re-runs the relevant semantic, Silver, Gold, STTM, and trust tasks; unrelated domains and approved artifacts remain unchanged.</w:t>
      </w:r>
    </w:p>
    <w:p>
      <w:pPr>
        <w:pStyle w:val="ListBullet"/>
      </w:pPr>
      <w:r>
        <w:t>Transient failures use bounded retries with recorded error context. Repeated failures, contradictory evidence, missing evidence, and business-critical uncertainty are routed to a named reviewer rather than silently retried or inferred.</w:t>
      </w:r>
    </w:p>
    <w:p>
      <w:pPr>
        <w:pStyle w:val="Heading2"/>
      </w:pPr>
      <w:r>
        <w:t>19.3 Enforcement, sensitive evidence, and engagement isolation</w:t>
      </w:r>
    </w:p>
    <w:p>
      <w:pPr>
        <w:pStyle w:val="ListBullet"/>
      </w:pPr>
      <w:r>
        <w:t>Recommendation-only behavior is enforced technically through agent tool binding and least-privilege service identities. Write, deployment, execution, credential, and ingestion capabilities are absent from the agent tool surface; this restriction is auditable.</w:t>
      </w:r>
    </w:p>
    <w:p>
      <w:pPr>
        <w:pStyle w:val="ListBullet"/>
      </w:pPr>
      <w:r>
        <w:t>Before any sensitive evidence is used for semantic inference, the project must classify it and apply approved minimization, masking, and retention controls. Raw narrative claims, medical, legal, and other protected text are not embedded or indexed by default.</w:t>
      </w:r>
    </w:p>
    <w:p>
      <w:pPr>
        <w:pStyle w:val="ListBullet"/>
      </w:pPr>
      <w:r>
        <w:t>Concurrent engagements are isolated through Unity Catalog permissions, dedicated source and recommendation schemas, scoped retrieval collections, service identities, and audit records. Retrieval filters must include engagement, product version, domain/LOB, artifact type, and approval state.</w:t>
      </w:r>
    </w:p>
    <w:p>
      <w:pPr>
        <w:pStyle w:val="Heading2"/>
      </w:pPr>
      <w:r>
        <w:t>19.4 Measurable first-release acceptance targets</w:t>
      </w:r>
    </w:p>
    <w:p>
      <w:r>
        <w:t>The implementation team will set baseline values during inception and report the following measures by source, domain, product/module/version, and release.</w:t>
      </w:r>
    </w:p>
    <w:tbl>
      <w:tblPr>
        <w:tblStyle w:val="TableGrid"/>
        <w:tblW w:type="auto" w:w="0"/>
        <w:tblLook w:firstColumn="1" w:firstRow="1" w:lastColumn="0" w:lastRow="0" w:noHBand="0" w:noVBand="1" w:val="04A0"/>
      </w:tblPr>
      <w:tblGrid>
        <w:gridCol w:w="3120"/>
        <w:gridCol w:w="3120"/>
        <w:gridCol w:w="3120"/>
      </w:tblGrid>
      <w:tr>
        <w:tc>
          <w:tcPr>
            <w:tcW w:type="dxa" w:w="3120"/>
          </w:tcPr>
          <w:p>
            <w:r>
              <w:t>Measure</w:t>
            </w:r>
          </w:p>
        </w:tc>
        <w:tc>
          <w:tcPr>
            <w:tcW w:type="dxa" w:w="3120"/>
          </w:tcPr>
          <w:p>
            <w:r>
              <w:t>Definition</w:t>
            </w:r>
          </w:p>
        </w:tc>
        <w:tc>
          <w:tcPr>
            <w:tcW w:type="dxa" w:w="3120"/>
          </w:tcPr>
          <w:p>
            <w:r>
              <w:t>Release target</w:t>
            </w:r>
          </w:p>
        </w:tc>
      </w:tr>
      <w:tr>
        <w:tc>
          <w:tcPr>
            <w:tcW w:type="dxa" w:w="3120"/>
          </w:tcPr>
          <w:p>
            <w:r>
              <w:t>Evidence completeness</w:t>
            </w:r>
          </w:p>
        </w:tc>
        <w:tc>
          <w:tcPr>
            <w:tcW w:type="dxa" w:w="3120"/>
          </w:tcPr>
          <w:p>
            <w:r>
              <w:t>Percentage of material recommendations with evidence, provenance, assumptions, contradictions, and approval status.</w:t>
            </w:r>
          </w:p>
        </w:tc>
        <w:tc>
          <w:tcPr>
            <w:tcW w:type="dxa" w:w="3120"/>
          </w:tcPr>
          <w:p>
            <w:r>
              <w:t>100%</w:t>
            </w:r>
          </w:p>
        </w:tc>
      </w:tr>
      <w:tr>
        <w:tc>
          <w:tcPr>
            <w:tcW w:type="dxa" w:w="3120"/>
          </w:tcPr>
          <w:p>
            <w:r>
              <w:t>Reviewer override rate</w:t>
            </w:r>
          </w:p>
        </w:tc>
        <w:tc>
          <w:tcPr>
            <w:tcW w:type="dxa" w:w="3120"/>
          </w:tcPr>
          <w:p>
            <w:r>
              <w:t>Percentage of reviewed recommendations materially changed or rejected by an authorized reviewer.</w:t>
            </w:r>
          </w:p>
        </w:tc>
        <w:tc>
          <w:tcPr>
            <w:tcW w:type="dxa" w:w="3120"/>
          </w:tcPr>
          <w:p>
            <w:r>
              <w:t>Baseline and reduce by release</w:t>
            </w:r>
          </w:p>
        </w:tc>
      </w:tr>
      <w:tr>
        <w:tc>
          <w:tcPr>
            <w:tcW w:type="dxa" w:w="3120"/>
          </w:tcPr>
          <w:p>
            <w:r>
              <w:t>Mapping quality</w:t>
            </w:r>
          </w:p>
        </w:tc>
        <w:tc>
          <w:tcPr>
            <w:tcW w:type="dxa" w:w="3120"/>
          </w:tcPr>
          <w:p>
            <w:r>
              <w:t>Precision and recall of approved source-to-ontology and source-to-target mappings against a labelled review set.</w:t>
            </w:r>
          </w:p>
        </w:tc>
        <w:tc>
          <w:tcPr>
            <w:tcW w:type="dxa" w:w="3120"/>
          </w:tcPr>
          <w:p>
            <w:r>
              <w:t>Project-defined threshold</w:t>
            </w:r>
          </w:p>
        </w:tc>
      </w:tr>
      <w:tr>
        <w:tc>
          <w:tcPr>
            <w:tcW w:type="dxa" w:w="3120"/>
          </w:tcPr>
          <w:p>
            <w:r>
              <w:t>Review throughput</w:t>
            </w:r>
          </w:p>
        </w:tc>
        <w:tc>
          <w:tcPr>
            <w:tcW w:type="dxa" w:w="3120"/>
          </w:tcPr>
          <w:p>
            <w:r>
              <w:t>Median elapsed time from recommendation creation to final reviewer decision.</w:t>
            </w:r>
          </w:p>
        </w:tc>
        <w:tc>
          <w:tcPr>
            <w:tcW w:type="dxa" w:w="3120"/>
          </w:tcPr>
          <w:p>
            <w:r>
              <w:t>Project-defined service level</w:t>
            </w:r>
          </w:p>
        </w:tc>
      </w:tr>
      <w:tr>
        <w:tc>
          <w:tcPr>
            <w:tcW w:type="dxa" w:w="3120"/>
          </w:tcPr>
          <w:p>
            <w:r>
              <w:t>Operational efficiency</w:t>
            </w:r>
          </w:p>
        </w:tc>
        <w:tc>
          <w:tcPr>
            <w:tcW w:type="dxa" w:w="3120"/>
          </w:tcPr>
          <w:p>
            <w:r>
              <w:t>Cost and elapsed time per source object, with failed/retried task rate.</w:t>
            </w:r>
          </w:p>
        </w:tc>
        <w:tc>
          <w:tcPr>
            <w:tcW w:type="dxa" w:w="3120"/>
          </w:tcPr>
          <w:p>
            <w:r>
              <w:t>Project-defined budget and service level</w:t>
            </w:r>
          </w:p>
        </w:tc>
      </w:tr>
      <w:tr>
        <w:tc>
          <w:tcPr>
            <w:tcW w:type="dxa" w:w="3120"/>
          </w:tcPr>
          <w:p>
            <w:r>
              <w:t>Sensitive-evidence compliance</w:t>
            </w:r>
          </w:p>
        </w:tc>
        <w:tc>
          <w:tcPr>
            <w:tcW w:type="dxa" w:w="3120"/>
          </w:tcPr>
          <w:p>
            <w:r>
              <w:t>Percentage of retrieval/index inputs passing the approved evidence-classification and sanitization controls.</w:t>
            </w:r>
          </w:p>
        </w:tc>
        <w:tc>
          <w:tcPr>
            <w:tcW w:type="dxa" w:w="3120"/>
          </w:tcPr>
          <w:p>
            <w:r>
              <w:t>100%</w:t>
            </w:r>
          </w:p>
        </w:tc>
      </w:tr>
    </w:tbl>
    <w:p>
      <w:pPr>
        <w:pStyle w:val="Heading1"/>
        <w:keepNext/>
      </w:pPr>
      <w:r>
        <w:t>Appendix A — Glossary</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000"/>
        <w:gridCol w:w="7360"/>
      </w:tblGrid>
      <w:tr>
        <w:trPr>
          <w:tblHeader w:val="true"/>
        </w:trPr>
        <w:tc>
          <w:tcPr>
            <w:tcW w:type="dxa" w:w="200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Term</w:t>
            </w:r>
          </w:p>
        </w:tc>
        <w:tc>
          <w:tcPr>
            <w:tcW w:type="dxa" w:w="7360"/>
            <w:shd w:fill="F2F4F7"/>
            <w:vAlign w:val="center"/>
            <w:tcMar>
              <w:top w:w="80" w:type="dxa"/>
              <w:start w:w="120" w:type="dxa"/>
              <w:bottom w:w="80" w:type="dxa"/>
              <w:end w:w="120" w:type="dxa"/>
            </w:tcMar>
          </w:tcPr>
          <w:p>
            <w:pPr>
              <w:spacing w:before="0" w:after="0" w:line="259" w:lineRule="auto"/>
              <w:jc w:val="left"/>
            </w:pPr>
            <w:r/>
            <w:r>
              <w:rPr>
                <w:rFonts w:ascii="Calibri" w:hAnsi="Calibri"/>
                <w:b/>
                <w:color w:val="0B2545"/>
                <w:sz w:val="18"/>
              </w:rPr>
              <w:t>Definition</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Bronze</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Existing raw or minimally processed source-aligned data layer analyzed by this solution.</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Silver ODS</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Canonical, source-independent operational data-store recommendation with history, lineage, and governed semantics.</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Gold</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Dimensional models and governed data products intended for analytical consumption.</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STTM</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Source-to-target mapping specification covering source, target, logic, evidence, confidence, and governance.</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COTS</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Commercial off-the-shelf product with defined models and terminology that may be used as authorized grounding knowledge.</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Ontology</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Governed set of business concepts, definitions, relationships, synonyms, and specializations.</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Trustable model</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A model recommendation whose evidence, assumptions, confidence, rules, lineage, and approvals are visible and controlled.</w:t>
            </w:r>
          </w:p>
        </w:tc>
      </w:tr>
      <w:tr>
        <w:tc>
          <w:tcPr>
            <w:tcW w:type="dxa" w:w="200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Context engineering</w:t>
            </w:r>
          </w:p>
        </w:tc>
        <w:tc>
          <w:tcPr>
            <w:tcW w:type="dxa" w:w="7360"/>
            <w:vAlign w:val="center"/>
            <w:tcMar>
              <w:top w:w="80" w:type="dxa"/>
              <w:start w:w="120" w:type="dxa"/>
              <w:bottom w:w="80" w:type="dxa"/>
              <w:end w:w="120" w:type="dxa"/>
            </w:tcMar>
          </w:tcPr>
          <w:p>
            <w:pPr>
              <w:spacing w:before="0" w:after="0" w:line="259" w:lineRule="auto"/>
              <w:jc w:val="left"/>
            </w:pPr>
            <w:r/>
            <w:r>
              <w:rPr>
                <w:rFonts w:ascii="Calibri" w:hAnsi="Calibri"/>
                <w:b w:val="0"/>
                <w:color w:val="000000"/>
                <w:sz w:val="17"/>
              </w:rPr>
              <w:t>Controlled assembly of the smallest relevant, authoritative knowledge and evidence package for an agent task.</w:t>
            </w:r>
          </w:p>
        </w:tc>
      </w:tr>
    </w:tbl>
    <w:p>
      <w:pPr>
        <w:spacing w:before="0" w:after="6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8"/>
      </w:rPr>
      <w:t xml:space="preserve">Draft for architecture review  •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AGENTIC TARGET MODELING  |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90">
    <w:abstractNumId w:val="90"/>
  </w:num>
  <w:abstractNum w:abstractNumId="91">
    <w:multiLevelType w:val="singleLevel"/>
    <w:lvl w:ilvl="0">
      <w:start w:val="1"/>
      <w:numFmt w:val="decimal"/>
      <w:lvlText w:val="%1."/>
      <w:suff w:val="tab"/>
      <w:pPr>
        <w:tabs>
          <w:tab w:val="num" w:pos="720"/>
        </w:tabs>
        <w:ind w:left="720" w:hanging="360"/>
        <w:spacing w:after="160" w:line="28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Target Modeling Solution — Architecture Design Document</dc:title>
  <dc:subject>P&amp;C Silver ODS and Gold target-model recommendation solution on Databricks</dc:subject>
  <dc:creator>Architecture Design Working Draft</dc:creator>
  <cp:keywords>P&amp;C, Databricks, agentic AI, ontology, Silver ODS, Gold, STTM, Guidewire, Origami, Majesco</cp:keywords>
  <dc:description>Prepared from the agreed solution-design discussion; no architecture diagram included.</dc:description>
  <cp:lastModifiedBy/>
  <cp:revision>1</cp:revision>
  <dcterms:created xsi:type="dcterms:W3CDTF">2013-12-23T23:15:00Z</dcterms:created>
  <dcterms:modified xsi:type="dcterms:W3CDTF">2013-12-23T23:15:00Z</dcterms:modified>
  <cp:category/>
</cp:coreProperties>
</file>