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20"/>
        <w:jc w:val="left"/>
      </w:pPr>
      <w:r>
        <w:rPr>
          <w:rFonts w:ascii="Aptos Display" w:hAnsi="Aptos Display"/>
          <w:b/>
          <w:color w:val="17365D"/>
          <w:sz w:val="50"/>
        </w:rPr>
        <w:t>PILOT IMPLEMENTATION BLUEPRINT</w:t>
      </w:r>
    </w:p>
    <w:p>
      <w:pPr>
        <w:spacing w:after="320"/>
      </w:pPr>
      <w:r>
        <w:rPr>
          <w:rFonts w:ascii="Aptos" w:hAnsi="Aptos"/>
          <w:color w:val="0F6B78"/>
          <w:sz w:val="30"/>
        </w:rPr>
        <w:t>Agentic Target Modeling Solution</w:t>
      </w:r>
    </w:p>
    <w:tbl>
      <w:tblPr>
        <w:tblW w:type="auto" w:w="0"/>
        <w:jc w:val="left"/>
        <w:tblLayout w:type="fixed"/>
        <w:tblLook w:firstColumn="1" w:firstRow="1" w:lastColumn="0" w:lastRow="0" w:noHBand="0" w:noVBand="1" w:val="04A0"/>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Grid>
        <w:gridCol w:w="9936"/>
      </w:tblGrid>
      <w:tr>
        <w:tc>
          <w:tcPr>
            <w:tcW w:type="dxa" w:w="9144"/>
            <w:shd w:fill="D9EAF7"/>
            <w:tcMar>
              <w:top w:w="120" w:type="dxa"/>
              <w:start w:w="150" w:type="dxa"/>
              <w:bottom w:w="120" w:type="dxa"/>
              <w:end w:w="150" w:type="dxa"/>
            </w:tcMar>
          </w:tcPr>
          <w:p>
            <w:pPr>
              <w:spacing w:after="0"/>
            </w:pPr>
            <w:r/>
            <w:r>
              <w:rPr>
                <w:b/>
                <w:color w:val="17365D"/>
              </w:rPr>
              <w:t xml:space="preserve">Purpose: </w:t>
            </w:r>
            <w:r>
              <w:t>Translate the approved logical design into a bounded, reviewable first implementation. This blueprint assumes a read-only, recommendation-only pilot on Databricks.</w:t>
            </w:r>
          </w:p>
        </w:tc>
      </w:tr>
    </w:tbl>
    <w:p>
      <w:pPr>
        <w:spacing w:after="20"/>
      </w:pPr>
    </w:p>
    <w:tbl>
      <w:tblPr>
        <w:tblW w:type="auto" w:w="0"/>
        <w:jc w:val="left"/>
        <w:tblLayout w:type="fixed"/>
        <w:tblLook w:firstColumn="1" w:firstRow="1" w:lastColumn="0" w:lastRow="0" w:noHBand="0" w:noVBand="1" w:val="04A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4968"/>
        <w:gridCol w:w="4968"/>
      </w:tblGrid>
      <w:tr>
        <w:trPr>
          <w:tblHeader w:val="true"/>
        </w:trPr>
        <w:tc>
          <w:tcPr>
            <w:tcW w:type="dxa" w:w="2592"/>
            <w:shd w:fill="17365D"/>
            <w:vAlign w:val="center"/>
            <w:tcMar>
              <w:top w:w="90" w:type="dxa"/>
              <w:start w:w="110" w:type="dxa"/>
              <w:bottom w:w="90" w:type="dxa"/>
              <w:end w:w="110" w:type="dxa"/>
            </w:tcMar>
          </w:tcPr>
          <w:p>
            <w:pPr>
              <w:spacing w:after="0"/>
            </w:pPr>
            <w:r/>
            <w:r>
              <w:rPr>
                <w:rFonts w:ascii="Aptos" w:hAnsi="Aptos"/>
                <w:b/>
                <w:color w:val="FFFFFF"/>
                <w:sz w:val="17"/>
              </w:rPr>
              <w:t>Document status</w:t>
            </w:r>
          </w:p>
        </w:tc>
        <w:tc>
          <w:tcPr>
            <w:tcW w:type="dxa" w:w="6552"/>
            <w:shd w:fill="17365D"/>
            <w:vAlign w:val="center"/>
            <w:tcMar>
              <w:top w:w="90" w:type="dxa"/>
              <w:start w:w="110" w:type="dxa"/>
              <w:bottom w:w="90" w:type="dxa"/>
              <w:end w:w="110" w:type="dxa"/>
            </w:tcMar>
          </w:tcPr>
          <w:p>
            <w:pPr>
              <w:spacing w:after="0"/>
            </w:pPr>
            <w:r/>
            <w:r>
              <w:rPr>
                <w:rFonts w:ascii="Aptos" w:hAnsi="Aptos"/>
                <w:b/>
                <w:color w:val="FFFFFF"/>
                <w:sz w:val="17"/>
              </w:rPr>
              <w:t>Value</w:t>
            </w:r>
          </w:p>
        </w:tc>
      </w:tr>
      <w:tr>
        <w:tc>
          <w:tcPr>
            <w:tcW w:type="dxa" w:w="2592"/>
            <w:vAlign w:val="center"/>
            <w:tcMar>
              <w:top w:w="90" w:type="dxa"/>
              <w:start w:w="110" w:type="dxa"/>
              <w:bottom w:w="90" w:type="dxa"/>
              <w:end w:w="110" w:type="dxa"/>
            </w:tcMar>
          </w:tcPr>
          <w:p>
            <w:pPr>
              <w:spacing w:after="0"/>
            </w:pPr>
            <w:r/>
            <w:r>
              <w:rPr>
                <w:rFonts w:ascii="Aptos" w:hAnsi="Aptos"/>
                <w:b w:val="0"/>
                <w:color w:val="1F1F1F"/>
                <w:sz w:val="17"/>
              </w:rPr>
              <w:t>Version</w:t>
            </w:r>
          </w:p>
        </w:tc>
        <w:tc>
          <w:tcPr>
            <w:tcW w:type="dxa" w:w="6552"/>
            <w:vAlign w:val="center"/>
            <w:tcMar>
              <w:top w:w="90" w:type="dxa"/>
              <w:start w:w="110" w:type="dxa"/>
              <w:bottom w:w="90" w:type="dxa"/>
              <w:end w:w="110" w:type="dxa"/>
            </w:tcMar>
          </w:tcPr>
          <w:p>
            <w:pPr>
              <w:spacing w:after="0"/>
            </w:pPr>
            <w:r/>
            <w:r>
              <w:rPr>
                <w:rFonts w:ascii="Aptos" w:hAnsi="Aptos"/>
                <w:b w:val="0"/>
                <w:color w:val="1F1F1F"/>
                <w:sz w:val="17"/>
              </w:rPr>
              <w:t>0.1 — implementation planning draft</w:t>
            </w:r>
          </w:p>
        </w:tc>
      </w:tr>
      <w:tr>
        <w:tc>
          <w:tcPr>
            <w:tcW w:type="dxa" w:w="2592"/>
            <w:vAlign w:val="center"/>
            <w:tcMar>
              <w:top w:w="90" w:type="dxa"/>
              <w:start w:w="110" w:type="dxa"/>
              <w:bottom w:w="90" w:type="dxa"/>
              <w:end w:w="110" w:type="dxa"/>
            </w:tcMar>
          </w:tcPr>
          <w:p>
            <w:pPr>
              <w:spacing w:after="0"/>
            </w:pPr>
            <w:r/>
            <w:r>
              <w:rPr>
                <w:rFonts w:ascii="Aptos" w:hAnsi="Aptos"/>
                <w:b w:val="0"/>
                <w:color w:val="1F1F1F"/>
                <w:sz w:val="17"/>
              </w:rPr>
              <w:t>Primary pilot outputs</w:t>
            </w:r>
          </w:p>
        </w:tc>
        <w:tc>
          <w:tcPr>
            <w:tcW w:type="dxa" w:w="6552"/>
            <w:vAlign w:val="center"/>
            <w:tcMar>
              <w:top w:w="90" w:type="dxa"/>
              <w:start w:w="110" w:type="dxa"/>
              <w:bottom w:w="90" w:type="dxa"/>
              <w:end w:w="110" w:type="dxa"/>
            </w:tcMar>
          </w:tcPr>
          <w:p>
            <w:pPr>
              <w:spacing w:after="0"/>
            </w:pPr>
            <w:r/>
            <w:r>
              <w:rPr>
                <w:rFonts w:ascii="Aptos" w:hAnsi="Aptos"/>
                <w:b w:val="0"/>
                <w:color w:val="1F1F1F"/>
                <w:sz w:val="17"/>
              </w:rPr>
              <w:t>Source observation dictionary, ontology mappings, Silver ODS recommendation, Gold recommendation, STTM package</w:t>
            </w:r>
          </w:p>
        </w:tc>
      </w:tr>
      <w:tr>
        <w:tc>
          <w:tcPr>
            <w:tcW w:type="dxa" w:w="2592"/>
            <w:vAlign w:val="center"/>
            <w:tcMar>
              <w:top w:w="90" w:type="dxa"/>
              <w:start w:w="110" w:type="dxa"/>
              <w:bottom w:w="90" w:type="dxa"/>
              <w:end w:w="110" w:type="dxa"/>
            </w:tcMar>
          </w:tcPr>
          <w:p>
            <w:pPr>
              <w:spacing w:after="0"/>
            </w:pPr>
            <w:r/>
            <w:r>
              <w:rPr>
                <w:rFonts w:ascii="Aptos" w:hAnsi="Aptos"/>
                <w:b w:val="0"/>
                <w:color w:val="1F1F1F"/>
                <w:sz w:val="17"/>
              </w:rPr>
              <w:t>Pilot authority</w:t>
            </w:r>
          </w:p>
        </w:tc>
        <w:tc>
          <w:tcPr>
            <w:tcW w:type="dxa" w:w="6552"/>
            <w:vAlign w:val="center"/>
            <w:tcMar>
              <w:top w:w="90" w:type="dxa"/>
              <w:start w:w="110" w:type="dxa"/>
              <w:bottom w:w="90" w:type="dxa"/>
              <w:end w:w="110" w:type="dxa"/>
            </w:tcMar>
          </w:tcPr>
          <w:p>
            <w:pPr>
              <w:spacing w:after="0"/>
            </w:pPr>
            <w:r/>
            <w:r>
              <w:rPr>
                <w:rFonts w:ascii="Aptos" w:hAnsi="Aptos"/>
                <w:b w:val="0"/>
                <w:color w:val="1F1F1F"/>
                <w:sz w:val="17"/>
              </w:rPr>
              <w:t>Recommendations only; human approval is required before an artifact is treated as authoritative</w:t>
            </w:r>
          </w:p>
        </w:tc>
      </w:tr>
      <w:tr>
        <w:tc>
          <w:tcPr>
            <w:tcW w:type="dxa" w:w="2592"/>
            <w:vAlign w:val="center"/>
            <w:tcMar>
              <w:top w:w="90" w:type="dxa"/>
              <w:start w:w="110" w:type="dxa"/>
              <w:bottom w:w="90" w:type="dxa"/>
              <w:end w:w="110" w:type="dxa"/>
            </w:tcMar>
          </w:tcPr>
          <w:p>
            <w:pPr>
              <w:spacing w:after="0"/>
            </w:pPr>
            <w:r/>
            <w:r>
              <w:rPr>
                <w:rFonts w:ascii="Aptos" w:hAnsi="Aptos"/>
                <w:b w:val="0"/>
                <w:color w:val="1F1F1F"/>
                <w:sz w:val="17"/>
              </w:rPr>
              <w:t>Companion design</w:t>
            </w:r>
          </w:p>
        </w:tc>
        <w:tc>
          <w:tcPr>
            <w:tcW w:type="dxa" w:w="6552"/>
            <w:vAlign w:val="center"/>
            <w:tcMar>
              <w:top w:w="90" w:type="dxa"/>
              <w:start w:w="110" w:type="dxa"/>
              <w:bottom w:w="90" w:type="dxa"/>
              <w:end w:w="110" w:type="dxa"/>
            </w:tcMar>
          </w:tcPr>
          <w:p>
            <w:pPr>
              <w:spacing w:after="0"/>
            </w:pPr>
            <w:r/>
            <w:r>
              <w:rPr>
                <w:rFonts w:ascii="Aptos" w:hAnsi="Aptos"/>
                <w:b w:val="0"/>
                <w:color w:val="1F1F1F"/>
                <w:sz w:val="17"/>
              </w:rPr>
              <w:t>Agentic Target Modeling Architecture Design v0.2</w:t>
            </w:r>
          </w:p>
        </w:tc>
      </w:tr>
    </w:tbl>
    <w:p>
      <w:pPr>
        <w:spacing w:after="20"/>
      </w:pPr>
    </w:p>
    <w:p>
      <w:pPr>
        <w:pStyle w:val="Heading1"/>
        <w:keepNext/>
      </w:pPr>
      <w:r>
        <w:t>1. Pilot objective</w:t>
      </w:r>
    </w:p>
    <w:p>
      <w:pPr>
        <w:pStyle w:val="BodyText"/>
      </w:pPr>
      <w:r>
        <w:t>Prove that governed source evidence and approved P&amp;C knowledge can produce a reviewable source data dictionary and a small set of trusted target-model recommendations for one bounded source/domain combination.</w:t>
      </w:r>
    </w:p>
    <w:p>
      <w:pPr>
        <w:pStyle w:val="ListBullet"/>
      </w:pPr>
      <w:r>
        <w:t>Start with one source product/module/version and one P&amp;C business domain or LOB.</w:t>
      </w:r>
    </w:p>
    <w:p>
      <w:pPr>
        <w:pStyle w:val="ListBullet"/>
      </w:pPr>
      <w:r>
        <w:t>Use metadata and approved profiling evidence only; do not ingest, transform, deploy, or modify source data.</w:t>
      </w:r>
    </w:p>
    <w:p>
      <w:pPr>
        <w:pStyle w:val="ListBullet"/>
      </w:pPr>
      <w:r>
        <w:t>Measure mapping quality, evidence completeness, reviewer effort, workflow reliability, cost, and elapsed time.</w:t>
      </w:r>
    </w:p>
    <w:p>
      <w:pPr>
        <w:pStyle w:val="ListBullet"/>
      </w:pPr>
      <w:r>
        <w:t>Treat the pilot as a decision-quality evaluation, not as a production migration implementation.</w:t>
      </w:r>
    </w:p>
    <w:p>
      <w:pPr>
        <w:pStyle w:val="Heading1"/>
        <w:keepNext/>
      </w:pPr>
      <w:r>
        <w:t>2. Decisions required before build</w:t>
      </w:r>
    </w:p>
    <w:tbl>
      <w:tblPr>
        <w:tblW w:type="auto" w:w="0"/>
        <w:jc w:val="left"/>
        <w:tblLayout w:type="fixed"/>
        <w:tblLook w:firstColumn="1" w:firstRow="1" w:lastColumn="0" w:lastRow="0" w:noHBand="0" w:noVBand="1" w:val="04A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3312"/>
        <w:gridCol w:w="3312"/>
        <w:gridCol w:w="3312"/>
      </w:tblGrid>
      <w:tr>
        <w:trPr>
          <w:tblHeader w:val="true"/>
        </w:trPr>
        <w:tc>
          <w:tcPr>
            <w:tcW w:type="dxa" w:w="1944"/>
            <w:shd w:fill="17365D"/>
            <w:vAlign w:val="center"/>
            <w:tcMar>
              <w:top w:w="90" w:type="dxa"/>
              <w:start w:w="110" w:type="dxa"/>
              <w:bottom w:w="90" w:type="dxa"/>
              <w:end w:w="110" w:type="dxa"/>
            </w:tcMar>
          </w:tcPr>
          <w:p>
            <w:pPr>
              <w:spacing w:after="0"/>
            </w:pPr>
            <w:r/>
            <w:r>
              <w:rPr>
                <w:rFonts w:ascii="Aptos" w:hAnsi="Aptos"/>
                <w:b/>
                <w:color w:val="FFFFFF"/>
                <w:sz w:val="17"/>
              </w:rPr>
              <w:t>Decision</w:t>
            </w:r>
          </w:p>
        </w:tc>
        <w:tc>
          <w:tcPr>
            <w:tcW w:type="dxa" w:w="2088"/>
            <w:shd w:fill="17365D"/>
            <w:vAlign w:val="center"/>
            <w:tcMar>
              <w:top w:w="90" w:type="dxa"/>
              <w:start w:w="110" w:type="dxa"/>
              <w:bottom w:w="90" w:type="dxa"/>
              <w:end w:w="110" w:type="dxa"/>
            </w:tcMar>
          </w:tcPr>
          <w:p>
            <w:pPr>
              <w:spacing w:after="0"/>
            </w:pPr>
            <w:r/>
            <w:r>
              <w:rPr>
                <w:rFonts w:ascii="Aptos" w:hAnsi="Aptos"/>
                <w:b/>
                <w:color w:val="FFFFFF"/>
                <w:sz w:val="17"/>
              </w:rPr>
              <w:t>Owner</w:t>
            </w:r>
          </w:p>
        </w:tc>
        <w:tc>
          <w:tcPr>
            <w:tcW w:type="dxa" w:w="5112"/>
            <w:shd w:fill="17365D"/>
            <w:vAlign w:val="center"/>
            <w:tcMar>
              <w:top w:w="90" w:type="dxa"/>
              <w:start w:w="110" w:type="dxa"/>
              <w:bottom w:w="90" w:type="dxa"/>
              <w:end w:w="110" w:type="dxa"/>
            </w:tcMar>
          </w:tcPr>
          <w:p>
            <w:pPr>
              <w:spacing w:after="0"/>
            </w:pPr>
            <w:r/>
            <w:r>
              <w:rPr>
                <w:rFonts w:ascii="Aptos" w:hAnsi="Aptos"/>
                <w:b/>
                <w:color w:val="FFFFFF"/>
                <w:sz w:val="17"/>
              </w:rPr>
              <w:t>Pilot decision to record</w:t>
            </w:r>
          </w:p>
        </w:tc>
      </w:tr>
      <w:tr>
        <w:tc>
          <w:tcPr>
            <w:tcW w:type="dxa" w:w="1944"/>
            <w:vAlign w:val="center"/>
            <w:tcMar>
              <w:top w:w="90" w:type="dxa"/>
              <w:start w:w="110" w:type="dxa"/>
              <w:bottom w:w="90" w:type="dxa"/>
              <w:end w:w="110" w:type="dxa"/>
            </w:tcMar>
          </w:tcPr>
          <w:p>
            <w:pPr>
              <w:spacing w:after="0"/>
            </w:pPr>
            <w:r/>
            <w:r>
              <w:rPr>
                <w:rFonts w:ascii="Aptos" w:hAnsi="Aptos"/>
                <w:b w:val="0"/>
                <w:color w:val="1F1F1F"/>
                <w:sz w:val="17"/>
              </w:rPr>
              <w:t>Source boundary</w:t>
            </w:r>
          </w:p>
        </w:tc>
        <w:tc>
          <w:tcPr>
            <w:tcW w:type="dxa" w:w="2088"/>
            <w:vAlign w:val="center"/>
            <w:tcMar>
              <w:top w:w="90" w:type="dxa"/>
              <w:start w:w="110" w:type="dxa"/>
              <w:bottom w:w="90" w:type="dxa"/>
              <w:end w:w="110" w:type="dxa"/>
            </w:tcMar>
          </w:tcPr>
          <w:p>
            <w:pPr>
              <w:spacing w:after="0"/>
            </w:pPr>
            <w:r/>
            <w:r>
              <w:rPr>
                <w:rFonts w:ascii="Aptos" w:hAnsi="Aptos"/>
                <w:b w:val="0"/>
                <w:color w:val="1F1F1F"/>
                <w:sz w:val="17"/>
              </w:rPr>
              <w:t>Data architect</w:t>
            </w:r>
          </w:p>
        </w:tc>
        <w:tc>
          <w:tcPr>
            <w:tcW w:type="dxa" w:w="5112"/>
            <w:vAlign w:val="center"/>
            <w:tcMar>
              <w:top w:w="90" w:type="dxa"/>
              <w:start w:w="110" w:type="dxa"/>
              <w:bottom w:w="90" w:type="dxa"/>
              <w:end w:w="110" w:type="dxa"/>
            </w:tcMar>
          </w:tcPr>
          <w:p>
            <w:pPr>
              <w:spacing w:after="0"/>
            </w:pPr>
            <w:r/>
            <w:r>
              <w:rPr>
                <w:rFonts w:ascii="Aptos" w:hAnsi="Aptos"/>
                <w:b w:val="0"/>
                <w:color w:val="1F1F1F"/>
                <w:sz w:val="17"/>
              </w:rPr>
              <w:t>Source system, product/module/version, candidate objects, domain/LOB, and exclusions.</w:t>
            </w:r>
          </w:p>
        </w:tc>
      </w:tr>
      <w:tr>
        <w:tc>
          <w:tcPr>
            <w:tcW w:type="dxa" w:w="1944"/>
            <w:vAlign w:val="center"/>
            <w:tcMar>
              <w:top w:w="90" w:type="dxa"/>
              <w:start w:w="110" w:type="dxa"/>
              <w:bottom w:w="90" w:type="dxa"/>
              <w:end w:w="110" w:type="dxa"/>
            </w:tcMar>
          </w:tcPr>
          <w:p>
            <w:pPr>
              <w:spacing w:after="0"/>
            </w:pPr>
            <w:r/>
            <w:r>
              <w:rPr>
                <w:rFonts w:ascii="Aptos" w:hAnsi="Aptos"/>
                <w:b w:val="0"/>
                <w:color w:val="1F1F1F"/>
                <w:sz w:val="17"/>
              </w:rPr>
              <w:t>Evidence boundary</w:t>
            </w:r>
          </w:p>
        </w:tc>
        <w:tc>
          <w:tcPr>
            <w:tcW w:type="dxa" w:w="2088"/>
            <w:vAlign w:val="center"/>
            <w:tcMar>
              <w:top w:w="90" w:type="dxa"/>
              <w:start w:w="110" w:type="dxa"/>
              <w:bottom w:w="90" w:type="dxa"/>
              <w:end w:w="110" w:type="dxa"/>
            </w:tcMar>
          </w:tcPr>
          <w:p>
            <w:pPr>
              <w:spacing w:after="0"/>
            </w:pPr>
            <w:r/>
            <w:r>
              <w:rPr>
                <w:rFonts w:ascii="Aptos" w:hAnsi="Aptos"/>
                <w:b w:val="0"/>
                <w:color w:val="1F1F1F"/>
                <w:sz w:val="17"/>
              </w:rPr>
              <w:t>Privacy steward + platform owner</w:t>
            </w:r>
          </w:p>
        </w:tc>
        <w:tc>
          <w:tcPr>
            <w:tcW w:type="dxa" w:w="5112"/>
            <w:vAlign w:val="center"/>
            <w:tcMar>
              <w:top w:w="90" w:type="dxa"/>
              <w:start w:w="110" w:type="dxa"/>
              <w:bottom w:w="90" w:type="dxa"/>
              <w:end w:w="110" w:type="dxa"/>
            </w:tcMar>
          </w:tcPr>
          <w:p>
            <w:pPr>
              <w:spacing w:after="0"/>
            </w:pPr>
            <w:r/>
            <w:r>
              <w:rPr>
                <w:rFonts w:ascii="Aptos" w:hAnsi="Aptos"/>
                <w:b w:val="0"/>
                <w:color w:val="1F1F1F"/>
                <w:sz w:val="17"/>
              </w:rPr>
              <w:t>Allowed metadata, profiles, sample classes, sanitization rules, and retention period.</w:t>
            </w:r>
          </w:p>
        </w:tc>
      </w:tr>
      <w:tr>
        <w:tc>
          <w:tcPr>
            <w:tcW w:type="dxa" w:w="1944"/>
            <w:vAlign w:val="center"/>
            <w:tcMar>
              <w:top w:w="90" w:type="dxa"/>
              <w:start w:w="110" w:type="dxa"/>
              <w:bottom w:w="90" w:type="dxa"/>
              <w:end w:w="110" w:type="dxa"/>
            </w:tcMar>
          </w:tcPr>
          <w:p>
            <w:pPr>
              <w:spacing w:after="0"/>
            </w:pPr>
            <w:r/>
            <w:r>
              <w:rPr>
                <w:rFonts w:ascii="Aptos" w:hAnsi="Aptos"/>
                <w:b w:val="0"/>
                <w:color w:val="1F1F1F"/>
                <w:sz w:val="17"/>
              </w:rPr>
              <w:t>Approval model</w:t>
            </w:r>
          </w:p>
        </w:tc>
        <w:tc>
          <w:tcPr>
            <w:tcW w:type="dxa" w:w="2088"/>
            <w:vAlign w:val="center"/>
            <w:tcMar>
              <w:top w:w="90" w:type="dxa"/>
              <w:start w:w="110" w:type="dxa"/>
              <w:bottom w:w="90" w:type="dxa"/>
              <w:end w:w="110" w:type="dxa"/>
            </w:tcMar>
          </w:tcPr>
          <w:p>
            <w:pPr>
              <w:spacing w:after="0"/>
            </w:pPr>
            <w:r/>
            <w:r>
              <w:rPr>
                <w:rFonts w:ascii="Aptos" w:hAnsi="Aptos"/>
                <w:b w:val="0"/>
                <w:color w:val="1F1F1F"/>
                <w:sz w:val="17"/>
              </w:rPr>
              <w:t>Architecture lead</w:t>
            </w:r>
          </w:p>
        </w:tc>
        <w:tc>
          <w:tcPr>
            <w:tcW w:type="dxa" w:w="5112"/>
            <w:vAlign w:val="center"/>
            <w:tcMar>
              <w:top w:w="90" w:type="dxa"/>
              <w:start w:w="110" w:type="dxa"/>
              <w:bottom w:w="90" w:type="dxa"/>
              <w:end w:w="110" w:type="dxa"/>
            </w:tcMar>
          </w:tcPr>
          <w:p>
            <w:pPr>
              <w:spacing w:after="0"/>
            </w:pPr>
            <w:r/>
            <w:r>
              <w:rPr>
                <w:rFonts w:ascii="Aptos" w:hAnsi="Aptos"/>
                <w:b w:val="0"/>
                <w:color w:val="1F1F1F"/>
                <w:sz w:val="17"/>
              </w:rPr>
              <w:t>Named architect, domain SME/steward, privacy steward, and decision turnaround target.</w:t>
            </w:r>
          </w:p>
        </w:tc>
      </w:tr>
      <w:tr>
        <w:tc>
          <w:tcPr>
            <w:tcW w:type="dxa" w:w="1944"/>
            <w:vAlign w:val="center"/>
            <w:tcMar>
              <w:top w:w="90" w:type="dxa"/>
              <w:start w:w="110" w:type="dxa"/>
              <w:bottom w:w="90" w:type="dxa"/>
              <w:end w:w="110" w:type="dxa"/>
            </w:tcMar>
          </w:tcPr>
          <w:p>
            <w:pPr>
              <w:spacing w:after="0"/>
            </w:pPr>
            <w:r/>
            <w:r>
              <w:rPr>
                <w:rFonts w:ascii="Aptos" w:hAnsi="Aptos"/>
                <w:b w:val="0"/>
                <w:color w:val="1F1F1F"/>
                <w:sz w:val="17"/>
              </w:rPr>
              <w:t>Confidence policy</w:t>
            </w:r>
          </w:p>
        </w:tc>
        <w:tc>
          <w:tcPr>
            <w:tcW w:type="dxa" w:w="2088"/>
            <w:vAlign w:val="center"/>
            <w:tcMar>
              <w:top w:w="90" w:type="dxa"/>
              <w:start w:w="110" w:type="dxa"/>
              <w:bottom w:w="90" w:type="dxa"/>
              <w:end w:w="110" w:type="dxa"/>
            </w:tcMar>
          </w:tcPr>
          <w:p>
            <w:pPr>
              <w:spacing w:after="0"/>
            </w:pPr>
            <w:r/>
            <w:r>
              <w:rPr>
                <w:rFonts w:ascii="Aptos" w:hAnsi="Aptos"/>
                <w:b w:val="0"/>
                <w:color w:val="1F1F1F"/>
                <w:sz w:val="17"/>
              </w:rPr>
              <w:t>Architecture lead + evaluation owner</w:t>
            </w:r>
          </w:p>
        </w:tc>
        <w:tc>
          <w:tcPr>
            <w:tcW w:type="dxa" w:w="5112"/>
            <w:vAlign w:val="center"/>
            <w:tcMar>
              <w:top w:w="90" w:type="dxa"/>
              <w:start w:w="110" w:type="dxa"/>
              <w:bottom w:w="90" w:type="dxa"/>
              <w:end w:w="110" w:type="dxa"/>
            </w:tcMar>
          </w:tcPr>
          <w:p>
            <w:pPr>
              <w:spacing w:after="0"/>
            </w:pPr>
            <w:r/>
            <w:r>
              <w:rPr>
                <w:rFonts w:ascii="Aptos" w:hAnsi="Aptos"/>
                <w:b w:val="0"/>
                <w:color w:val="1F1F1F"/>
                <w:sz w:val="17"/>
              </w:rPr>
              <w:t>Score components, calibration set, review thresholds, and mandatory-review cases.</w:t>
            </w:r>
          </w:p>
        </w:tc>
      </w:tr>
      <w:tr>
        <w:tc>
          <w:tcPr>
            <w:tcW w:type="dxa" w:w="1944"/>
            <w:vAlign w:val="center"/>
            <w:tcMar>
              <w:top w:w="90" w:type="dxa"/>
              <w:start w:w="110" w:type="dxa"/>
              <w:bottom w:w="90" w:type="dxa"/>
              <w:end w:w="110" w:type="dxa"/>
            </w:tcMar>
          </w:tcPr>
          <w:p>
            <w:pPr>
              <w:spacing w:after="0"/>
            </w:pPr>
            <w:r/>
            <w:r>
              <w:rPr>
                <w:rFonts w:ascii="Aptos" w:hAnsi="Aptos"/>
                <w:b w:val="0"/>
                <w:color w:val="1F1F1F"/>
                <w:sz w:val="17"/>
              </w:rPr>
              <w:t>Operating model</w:t>
            </w:r>
          </w:p>
        </w:tc>
        <w:tc>
          <w:tcPr>
            <w:tcW w:type="dxa" w:w="2088"/>
            <w:vAlign w:val="center"/>
            <w:tcMar>
              <w:top w:w="90" w:type="dxa"/>
              <w:start w:w="110" w:type="dxa"/>
              <w:bottom w:w="90" w:type="dxa"/>
              <w:end w:w="110" w:type="dxa"/>
            </w:tcMar>
          </w:tcPr>
          <w:p>
            <w:pPr>
              <w:spacing w:after="0"/>
            </w:pPr>
            <w:r/>
            <w:r>
              <w:rPr>
                <w:rFonts w:ascii="Aptos" w:hAnsi="Aptos"/>
                <w:b w:val="0"/>
                <w:color w:val="1F1F1F"/>
                <w:sz w:val="17"/>
              </w:rPr>
              <w:t>Platform owner</w:t>
            </w:r>
          </w:p>
        </w:tc>
        <w:tc>
          <w:tcPr>
            <w:tcW w:type="dxa" w:w="5112"/>
            <w:vAlign w:val="center"/>
            <w:tcMar>
              <w:top w:w="90" w:type="dxa"/>
              <w:start w:w="110" w:type="dxa"/>
              <w:bottom w:w="90" w:type="dxa"/>
              <w:end w:w="110" w:type="dxa"/>
            </w:tcMar>
          </w:tcPr>
          <w:p>
            <w:pPr>
              <w:spacing w:after="0"/>
            </w:pPr>
            <w:r/>
            <w:r>
              <w:rPr>
                <w:rFonts w:ascii="Aptos" w:hAnsi="Aptos"/>
                <w:b w:val="0"/>
                <w:color w:val="1F1F1F"/>
                <w:sz w:val="17"/>
              </w:rPr>
              <w:t>Scheduled batch, event-driven workflow, or request/response entry point for the pilot.</w:t>
            </w:r>
          </w:p>
        </w:tc>
      </w:tr>
      <w:tr>
        <w:tc>
          <w:tcPr>
            <w:tcW w:type="dxa" w:w="1944"/>
            <w:vAlign w:val="center"/>
            <w:tcMar>
              <w:top w:w="90" w:type="dxa"/>
              <w:start w:w="110" w:type="dxa"/>
              <w:bottom w:w="90" w:type="dxa"/>
              <w:end w:w="110" w:type="dxa"/>
            </w:tcMar>
          </w:tcPr>
          <w:p>
            <w:pPr>
              <w:spacing w:after="0"/>
            </w:pPr>
            <w:r/>
            <w:r>
              <w:rPr>
                <w:rFonts w:ascii="Aptos" w:hAnsi="Aptos"/>
                <w:b w:val="0"/>
                <w:color w:val="1F1F1F"/>
                <w:sz w:val="17"/>
              </w:rPr>
              <w:t>Success targets</w:t>
            </w:r>
          </w:p>
        </w:tc>
        <w:tc>
          <w:tcPr>
            <w:tcW w:type="dxa" w:w="2088"/>
            <w:vAlign w:val="center"/>
            <w:tcMar>
              <w:top w:w="90" w:type="dxa"/>
              <w:start w:w="110" w:type="dxa"/>
              <w:bottom w:w="90" w:type="dxa"/>
              <w:end w:w="110" w:type="dxa"/>
            </w:tcMar>
          </w:tcPr>
          <w:p>
            <w:pPr>
              <w:spacing w:after="0"/>
            </w:pPr>
            <w:r/>
            <w:r>
              <w:rPr>
                <w:rFonts w:ascii="Aptos" w:hAnsi="Aptos"/>
                <w:b w:val="0"/>
                <w:color w:val="1F1F1F"/>
                <w:sz w:val="17"/>
              </w:rPr>
              <w:t>Sponsor</w:t>
            </w:r>
          </w:p>
        </w:tc>
        <w:tc>
          <w:tcPr>
            <w:tcW w:type="dxa" w:w="5112"/>
            <w:vAlign w:val="center"/>
            <w:tcMar>
              <w:top w:w="90" w:type="dxa"/>
              <w:start w:w="110" w:type="dxa"/>
              <w:bottom w:w="90" w:type="dxa"/>
              <w:end w:w="110" w:type="dxa"/>
            </w:tcMar>
          </w:tcPr>
          <w:p>
            <w:pPr>
              <w:spacing w:after="0"/>
            </w:pPr>
            <w:r/>
            <w:r>
              <w:rPr>
                <w:rFonts w:ascii="Aptos" w:hAnsi="Aptos"/>
                <w:b w:val="0"/>
                <w:color w:val="1F1F1F"/>
                <w:sz w:val="17"/>
              </w:rPr>
              <w:t>Quality, cost, latency, reviewer-throughput, and evidence-completeness thresholds.</w:t>
            </w:r>
          </w:p>
        </w:tc>
      </w:tr>
    </w:tbl>
    <w:p>
      <w:pPr>
        <w:spacing w:after="20"/>
      </w:pPr>
    </w:p>
    <w:p>
      <w:pPr>
        <w:pStyle w:val="Heading1"/>
        <w:keepNext/>
      </w:pPr>
      <w:r>
        <w:t>3. Pilot solution architecture</w:t>
      </w:r>
    </w:p>
    <w:p>
      <w:pPr>
        <w:pStyle w:val="BodyText"/>
      </w:pPr>
      <w:r>
        <w:t>The pilot has four separable planes. The agent system can read from the governed knowledge and evidence plane, write only recommendation artifacts to the repository, and route material decisions to people.</w:t>
      </w:r>
    </w:p>
    <w:tbl>
      <w:tblPr>
        <w:tblW w:type="auto" w:w="0"/>
        <w:jc w:val="left"/>
        <w:tblLayout w:type="fixed"/>
        <w:tblLook w:firstColumn="1" w:firstRow="1" w:lastColumn="0" w:lastRow="0" w:noHBand="0" w:noVBand="1" w:val="04A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3312"/>
        <w:gridCol w:w="3312"/>
        <w:gridCol w:w="3312"/>
      </w:tblGrid>
      <w:tr>
        <w:trPr>
          <w:tblHeader w:val="true"/>
        </w:trPr>
        <w:tc>
          <w:tcPr>
            <w:tcW w:type="dxa" w:w="1944"/>
            <w:shd w:fill="17365D"/>
            <w:vAlign w:val="center"/>
            <w:tcMar>
              <w:top w:w="90" w:type="dxa"/>
              <w:start w:w="110" w:type="dxa"/>
              <w:bottom w:w="90" w:type="dxa"/>
              <w:end w:w="110" w:type="dxa"/>
            </w:tcMar>
          </w:tcPr>
          <w:p>
            <w:pPr>
              <w:spacing w:after="0"/>
            </w:pPr>
            <w:r/>
            <w:r>
              <w:rPr>
                <w:rFonts w:ascii="Aptos" w:hAnsi="Aptos"/>
                <w:b/>
                <w:color w:val="FFFFFF"/>
                <w:sz w:val="17"/>
              </w:rPr>
              <w:t>Plane</w:t>
            </w:r>
          </w:p>
        </w:tc>
        <w:tc>
          <w:tcPr>
            <w:tcW w:type="dxa" w:w="3888"/>
            <w:shd w:fill="17365D"/>
            <w:vAlign w:val="center"/>
            <w:tcMar>
              <w:top w:w="90" w:type="dxa"/>
              <w:start w:w="110" w:type="dxa"/>
              <w:bottom w:w="90" w:type="dxa"/>
              <w:end w:w="110" w:type="dxa"/>
            </w:tcMar>
          </w:tcPr>
          <w:p>
            <w:pPr>
              <w:spacing w:after="0"/>
            </w:pPr>
            <w:r/>
            <w:r>
              <w:rPr>
                <w:rFonts w:ascii="Aptos" w:hAnsi="Aptos"/>
                <w:b/>
                <w:color w:val="FFFFFF"/>
                <w:sz w:val="17"/>
              </w:rPr>
              <w:t>Pilot components</w:t>
            </w:r>
          </w:p>
        </w:tc>
        <w:tc>
          <w:tcPr>
            <w:tcW w:type="dxa" w:w="3311"/>
            <w:shd w:fill="17365D"/>
            <w:vAlign w:val="center"/>
            <w:tcMar>
              <w:top w:w="90" w:type="dxa"/>
              <w:start w:w="110" w:type="dxa"/>
              <w:bottom w:w="90" w:type="dxa"/>
              <w:end w:w="110" w:type="dxa"/>
            </w:tcMar>
          </w:tcPr>
          <w:p>
            <w:pPr>
              <w:spacing w:after="0"/>
            </w:pPr>
            <w:r/>
            <w:r>
              <w:rPr>
                <w:rFonts w:ascii="Aptos" w:hAnsi="Aptos"/>
                <w:b/>
                <w:color w:val="FFFFFF"/>
                <w:sz w:val="17"/>
              </w:rPr>
              <w:t>Allowed responsibility</w:t>
            </w:r>
          </w:p>
        </w:tc>
      </w:tr>
      <w:tr>
        <w:tc>
          <w:tcPr>
            <w:tcW w:type="dxa" w:w="1944"/>
            <w:vAlign w:val="center"/>
            <w:tcMar>
              <w:top w:w="90" w:type="dxa"/>
              <w:start w:w="110" w:type="dxa"/>
              <w:bottom w:w="90" w:type="dxa"/>
              <w:end w:w="110" w:type="dxa"/>
            </w:tcMar>
          </w:tcPr>
          <w:p>
            <w:pPr>
              <w:spacing w:after="0"/>
            </w:pPr>
            <w:r/>
            <w:r>
              <w:rPr>
                <w:rFonts w:ascii="Aptos" w:hAnsi="Aptos"/>
                <w:b w:val="0"/>
                <w:color w:val="1F1F1F"/>
                <w:sz w:val="17"/>
              </w:rPr>
              <w:t>Knowledge and evidence</w:t>
            </w:r>
          </w:p>
        </w:tc>
        <w:tc>
          <w:tcPr>
            <w:tcW w:type="dxa" w:w="3888"/>
            <w:vAlign w:val="center"/>
            <w:tcMar>
              <w:top w:w="90" w:type="dxa"/>
              <w:start w:w="110" w:type="dxa"/>
              <w:bottom w:w="90" w:type="dxa"/>
              <w:end w:w="110" w:type="dxa"/>
            </w:tcMar>
          </w:tcPr>
          <w:p>
            <w:pPr>
              <w:spacing w:after="0"/>
            </w:pPr>
            <w:r/>
            <w:r>
              <w:rPr>
                <w:rFonts w:ascii="Aptos" w:hAnsi="Aptos"/>
                <w:b w:val="0"/>
                <w:color w:val="1F1F1F"/>
                <w:sz w:val="17"/>
              </w:rPr>
              <w:t>Unity Catalog, governed Bronze metadata, Databricks SQL profiles, approved COTS documentation, P&amp;C ontology, enterprise standards</w:t>
            </w:r>
          </w:p>
        </w:tc>
        <w:tc>
          <w:tcPr>
            <w:tcW w:type="dxa" w:w="3311"/>
            <w:vAlign w:val="center"/>
            <w:tcMar>
              <w:top w:w="90" w:type="dxa"/>
              <w:start w:w="110" w:type="dxa"/>
              <w:bottom w:w="90" w:type="dxa"/>
              <w:end w:w="110" w:type="dxa"/>
            </w:tcMar>
          </w:tcPr>
          <w:p>
            <w:pPr>
              <w:spacing w:after="0"/>
            </w:pPr>
            <w:r/>
            <w:r>
              <w:rPr>
                <w:rFonts w:ascii="Aptos" w:hAnsi="Aptos"/>
                <w:b w:val="0"/>
                <w:color w:val="1F1F1F"/>
                <w:sz w:val="17"/>
              </w:rPr>
              <w:t>Provide scoped, read-only context and evidence.</w:t>
            </w:r>
          </w:p>
        </w:tc>
      </w:tr>
      <w:tr>
        <w:tc>
          <w:tcPr>
            <w:tcW w:type="dxa" w:w="1944"/>
            <w:vAlign w:val="center"/>
            <w:tcMar>
              <w:top w:w="90" w:type="dxa"/>
              <w:start w:w="110" w:type="dxa"/>
              <w:bottom w:w="90" w:type="dxa"/>
              <w:end w:w="110" w:type="dxa"/>
            </w:tcMar>
          </w:tcPr>
          <w:p>
            <w:pPr>
              <w:spacing w:after="0"/>
            </w:pPr>
            <w:r/>
            <w:r>
              <w:rPr>
                <w:rFonts w:ascii="Aptos" w:hAnsi="Aptos"/>
                <w:b w:val="0"/>
                <w:color w:val="1F1F1F"/>
                <w:sz w:val="17"/>
              </w:rPr>
              <w:t>Agent reasoning</w:t>
            </w:r>
          </w:p>
        </w:tc>
        <w:tc>
          <w:tcPr>
            <w:tcW w:type="dxa" w:w="3888"/>
            <w:vAlign w:val="center"/>
            <w:tcMar>
              <w:top w:w="90" w:type="dxa"/>
              <w:start w:w="110" w:type="dxa"/>
              <w:bottom w:w="90" w:type="dxa"/>
              <w:end w:w="110" w:type="dxa"/>
            </w:tcMar>
          </w:tcPr>
          <w:p>
            <w:pPr>
              <w:spacing w:after="0"/>
            </w:pPr>
            <w:r/>
            <w:r>
              <w:rPr>
                <w:rFonts w:ascii="Aptos" w:hAnsi="Aptos"/>
                <w:b w:val="0"/>
                <w:color w:val="1F1F1F"/>
                <w:sz w:val="17"/>
              </w:rPr>
              <w:t>Orchestrator; Source Intelligence; Ontology &amp; Semantic; Silver ODS; Gold Data Product; STTM &amp; Business Rule; Trust &amp; Review</w:t>
            </w:r>
          </w:p>
        </w:tc>
        <w:tc>
          <w:tcPr>
            <w:tcW w:type="dxa" w:w="3311"/>
            <w:vAlign w:val="center"/>
            <w:tcMar>
              <w:top w:w="90" w:type="dxa"/>
              <w:start w:w="110" w:type="dxa"/>
              <w:bottom w:w="90" w:type="dxa"/>
              <w:end w:w="110" w:type="dxa"/>
            </w:tcMar>
          </w:tcPr>
          <w:p>
            <w:pPr>
              <w:spacing w:after="0"/>
            </w:pPr>
            <w:r/>
            <w:r>
              <w:rPr>
                <w:rFonts w:ascii="Aptos" w:hAnsi="Aptos"/>
                <w:b w:val="0"/>
                <w:color w:val="1F1F1F"/>
                <w:sz w:val="17"/>
              </w:rPr>
              <w:t>Generate structured recommendations and explain evidence.</w:t>
            </w:r>
          </w:p>
        </w:tc>
      </w:tr>
      <w:tr>
        <w:tc>
          <w:tcPr>
            <w:tcW w:type="dxa" w:w="1944"/>
            <w:vAlign w:val="center"/>
            <w:tcMar>
              <w:top w:w="90" w:type="dxa"/>
              <w:start w:w="110" w:type="dxa"/>
              <w:bottom w:w="90" w:type="dxa"/>
              <w:end w:w="110" w:type="dxa"/>
            </w:tcMar>
          </w:tcPr>
          <w:p>
            <w:pPr>
              <w:spacing w:after="0"/>
            </w:pPr>
            <w:r/>
            <w:r>
              <w:rPr>
                <w:rFonts w:ascii="Aptos" w:hAnsi="Aptos"/>
                <w:b w:val="0"/>
                <w:color w:val="1F1F1F"/>
                <w:sz w:val="17"/>
              </w:rPr>
              <w:t>Control plane</w:t>
            </w:r>
          </w:p>
        </w:tc>
        <w:tc>
          <w:tcPr>
            <w:tcW w:type="dxa" w:w="3888"/>
            <w:vAlign w:val="center"/>
            <w:tcMar>
              <w:top w:w="90" w:type="dxa"/>
              <w:start w:w="110" w:type="dxa"/>
              <w:bottom w:w="90" w:type="dxa"/>
              <w:end w:w="110" w:type="dxa"/>
            </w:tcMar>
          </w:tcPr>
          <w:p>
            <w:pPr>
              <w:spacing w:after="0"/>
            </w:pPr>
            <w:r/>
            <w:r>
              <w:rPr>
                <w:rFonts w:ascii="Aptos" w:hAnsi="Aptos"/>
                <w:b w:val="0"/>
                <w:color w:val="1F1F1F"/>
                <w:sz w:val="17"/>
              </w:rPr>
              <w:t>Lakeflow Workflows, MLflow evaluation, tool-access policy, run-state store</w:t>
            </w:r>
          </w:p>
        </w:tc>
        <w:tc>
          <w:tcPr>
            <w:tcW w:type="dxa" w:w="3311"/>
            <w:vAlign w:val="center"/>
            <w:tcMar>
              <w:top w:w="90" w:type="dxa"/>
              <w:start w:w="110" w:type="dxa"/>
              <w:bottom w:w="90" w:type="dxa"/>
              <w:end w:w="110" w:type="dxa"/>
            </w:tcMar>
          </w:tcPr>
          <w:p>
            <w:pPr>
              <w:spacing w:after="0"/>
            </w:pPr>
            <w:r/>
            <w:r>
              <w:rPr>
                <w:rFonts w:ascii="Aptos" w:hAnsi="Aptos"/>
                <w:b w:val="0"/>
                <w:color w:val="1F1F1F"/>
                <w:sz w:val="17"/>
              </w:rPr>
              <w:t>Run idempotent tasks, capture versions, retry safely, and evaluate quality.</w:t>
            </w:r>
          </w:p>
        </w:tc>
      </w:tr>
      <w:tr>
        <w:tc>
          <w:tcPr>
            <w:tcW w:type="dxa" w:w="1944"/>
            <w:vAlign w:val="center"/>
            <w:tcMar>
              <w:top w:w="90" w:type="dxa"/>
              <w:start w:w="110" w:type="dxa"/>
              <w:bottom w:w="90" w:type="dxa"/>
              <w:end w:w="110" w:type="dxa"/>
            </w:tcMar>
          </w:tcPr>
          <w:p>
            <w:pPr>
              <w:spacing w:after="0"/>
            </w:pPr>
            <w:r/>
            <w:r>
              <w:rPr>
                <w:rFonts w:ascii="Aptos" w:hAnsi="Aptos"/>
                <w:b w:val="0"/>
                <w:color w:val="1F1F1F"/>
                <w:sz w:val="17"/>
              </w:rPr>
              <w:t>Governance and consumption</w:t>
            </w:r>
          </w:p>
        </w:tc>
        <w:tc>
          <w:tcPr>
            <w:tcW w:type="dxa" w:w="3888"/>
            <w:vAlign w:val="center"/>
            <w:tcMar>
              <w:top w:w="90" w:type="dxa"/>
              <w:start w:w="110" w:type="dxa"/>
              <w:bottom w:w="90" w:type="dxa"/>
              <w:end w:w="110" w:type="dxa"/>
            </w:tcMar>
          </w:tcPr>
          <w:p>
            <w:pPr>
              <w:spacing w:after="0"/>
            </w:pPr>
            <w:r/>
            <w:r>
              <w:rPr>
                <w:rFonts w:ascii="Aptos" w:hAnsi="Aptos"/>
                <w:b w:val="0"/>
                <w:color w:val="1F1F1F"/>
                <w:sz w:val="17"/>
              </w:rPr>
              <w:t>Delta recommendation repository, review workbench, approval records</w:t>
            </w:r>
          </w:p>
        </w:tc>
        <w:tc>
          <w:tcPr>
            <w:tcW w:type="dxa" w:w="3311"/>
            <w:vAlign w:val="center"/>
            <w:tcMar>
              <w:top w:w="90" w:type="dxa"/>
              <w:start w:w="110" w:type="dxa"/>
              <w:bottom w:w="90" w:type="dxa"/>
              <w:end w:w="110" w:type="dxa"/>
            </w:tcMar>
          </w:tcPr>
          <w:p>
            <w:pPr>
              <w:spacing w:after="0"/>
            </w:pPr>
            <w:r/>
            <w:r>
              <w:rPr>
                <w:rFonts w:ascii="Aptos" w:hAnsi="Aptos"/>
                <w:b w:val="0"/>
                <w:color w:val="1F1F1F"/>
                <w:sz w:val="17"/>
              </w:rPr>
              <w:t>Store evidence and decisions; present artifacts for human approval.</w:t>
            </w:r>
          </w:p>
        </w:tc>
      </w:tr>
    </w:tbl>
    <w:p>
      <w:pPr>
        <w:spacing w:after="20"/>
      </w:pPr>
    </w:p>
    <w:tbl>
      <w:tblPr>
        <w:tblW w:type="auto" w:w="0"/>
        <w:jc w:val="left"/>
        <w:tblLayout w:type="fixed"/>
        <w:tblLook w:firstColumn="1" w:firstRow="1" w:lastColumn="0" w:lastRow="0" w:noHBand="0" w:noVBand="1" w:val="04A0"/>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Grid>
        <w:gridCol w:w="9936"/>
      </w:tblGrid>
      <w:tr>
        <w:tc>
          <w:tcPr>
            <w:tcW w:type="dxa" w:w="9144"/>
            <w:shd w:fill="D9EAF7"/>
            <w:tcMar>
              <w:top w:w="120" w:type="dxa"/>
              <w:start w:w="150" w:type="dxa"/>
              <w:bottom w:w="120" w:type="dxa"/>
              <w:end w:w="150" w:type="dxa"/>
            </w:tcMar>
          </w:tcPr>
          <w:p>
            <w:pPr>
              <w:spacing w:after="0"/>
            </w:pPr>
            <w:r/>
            <w:r>
              <w:rPr>
                <w:b/>
                <w:color w:val="17365D"/>
              </w:rPr>
              <w:t xml:space="preserve">Technical enforcement: </w:t>
            </w:r>
            <w:r>
              <w:t>Agents receive read/query/retrieval tools only. They are not bound to schema-write, deployment, transformation-execution, credential-management, or ingestion tools.</w:t>
            </w:r>
          </w:p>
        </w:tc>
      </w:tr>
    </w:tbl>
    <w:p>
      <w:pPr>
        <w:spacing w:after="20"/>
      </w:pPr>
    </w:p>
    <w:p>
      <w:pPr>
        <w:pStyle w:val="Heading1"/>
        <w:keepNext/>
      </w:pPr>
      <w:r>
        <w:t>4. Source Intelligence Agent contract</w:t>
      </w:r>
    </w:p>
    <w:p>
      <w:pPr>
        <w:pStyle w:val="BodyText"/>
      </w:pPr>
      <w:r>
        <w:t>The Source Intelligence Agent is the first substantive pilot capability. Its job is to convert governed source evidence into a reviewable observation catalog and proposed source data dictionary; it does not create authoritative business definitions.</w:t>
      </w:r>
    </w:p>
    <w:tbl>
      <w:tblPr>
        <w:tblW w:type="auto" w:w="0"/>
        <w:jc w:val="left"/>
        <w:tblLayout w:type="fixed"/>
        <w:tblLook w:firstColumn="1" w:firstRow="1" w:lastColumn="0" w:lastRow="0" w:noHBand="0" w:noVBand="1" w:val="04A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4968"/>
        <w:gridCol w:w="4968"/>
      </w:tblGrid>
      <w:tr>
        <w:trPr>
          <w:tblHeader w:val="true"/>
        </w:trPr>
        <w:tc>
          <w:tcPr>
            <w:tcW w:type="dxa" w:w="2015"/>
            <w:shd w:fill="17365D"/>
            <w:vAlign w:val="center"/>
            <w:tcMar>
              <w:top w:w="90" w:type="dxa"/>
              <w:start w:w="110" w:type="dxa"/>
              <w:bottom w:w="90" w:type="dxa"/>
              <w:end w:w="110" w:type="dxa"/>
            </w:tcMar>
          </w:tcPr>
          <w:p>
            <w:pPr>
              <w:spacing w:after="0"/>
            </w:pPr>
            <w:r/>
            <w:r>
              <w:rPr>
                <w:rFonts w:ascii="Aptos" w:hAnsi="Aptos"/>
                <w:b/>
                <w:color w:val="FFFFFF"/>
                <w:sz w:val="17"/>
              </w:rPr>
              <w:t>Contract element</w:t>
            </w:r>
          </w:p>
        </w:tc>
        <w:tc>
          <w:tcPr>
            <w:tcW w:type="dxa" w:w="7128"/>
            <w:shd w:fill="17365D"/>
            <w:vAlign w:val="center"/>
            <w:tcMar>
              <w:top w:w="90" w:type="dxa"/>
              <w:start w:w="110" w:type="dxa"/>
              <w:bottom w:w="90" w:type="dxa"/>
              <w:end w:w="110" w:type="dxa"/>
            </w:tcMar>
          </w:tcPr>
          <w:p>
            <w:pPr>
              <w:spacing w:after="0"/>
            </w:pPr>
            <w:r/>
            <w:r>
              <w:rPr>
                <w:rFonts w:ascii="Aptos" w:hAnsi="Aptos"/>
                <w:b/>
                <w:color w:val="FFFFFF"/>
                <w:sz w:val="17"/>
              </w:rPr>
              <w:t>Specification</w:t>
            </w:r>
          </w:p>
        </w:tc>
      </w:tr>
      <w:tr>
        <w:tc>
          <w:tcPr>
            <w:tcW w:type="dxa" w:w="2015"/>
            <w:vAlign w:val="center"/>
            <w:tcMar>
              <w:top w:w="90" w:type="dxa"/>
              <w:start w:w="110" w:type="dxa"/>
              <w:bottom w:w="90" w:type="dxa"/>
              <w:end w:w="110" w:type="dxa"/>
            </w:tcMar>
          </w:tcPr>
          <w:p>
            <w:pPr>
              <w:spacing w:after="0"/>
            </w:pPr>
            <w:r/>
            <w:r>
              <w:rPr>
                <w:rFonts w:ascii="Aptos" w:hAnsi="Aptos"/>
                <w:b w:val="0"/>
                <w:color w:val="1F1F1F"/>
                <w:sz w:val="17"/>
              </w:rPr>
              <w:t>Inputs</w:t>
            </w:r>
          </w:p>
        </w:tc>
        <w:tc>
          <w:tcPr>
            <w:tcW w:type="dxa" w:w="7128"/>
            <w:vAlign w:val="center"/>
            <w:tcMar>
              <w:top w:w="90" w:type="dxa"/>
              <w:start w:w="110" w:type="dxa"/>
              <w:bottom w:w="90" w:type="dxa"/>
              <w:end w:w="110" w:type="dxa"/>
            </w:tcMar>
          </w:tcPr>
          <w:p>
            <w:pPr>
              <w:spacing w:after="0"/>
            </w:pPr>
            <w:r/>
            <w:r>
              <w:rPr>
                <w:rFonts w:ascii="Aptos" w:hAnsi="Aptos"/>
                <w:b w:val="0"/>
                <w:color w:val="1F1F1F"/>
                <w:sz w:val="17"/>
              </w:rPr>
              <w:t>Pilot scope; source-object inventory; Unity Catalog metadata; approved SQL profile results; permitted relationship evidence; COTS product/module/version context; enterprise naming and privacy standards.</w:t>
            </w:r>
          </w:p>
        </w:tc>
      </w:tr>
      <w:tr>
        <w:tc>
          <w:tcPr>
            <w:tcW w:type="dxa" w:w="2015"/>
            <w:vAlign w:val="center"/>
            <w:tcMar>
              <w:top w:w="90" w:type="dxa"/>
              <w:start w:w="110" w:type="dxa"/>
              <w:bottom w:w="90" w:type="dxa"/>
              <w:end w:w="110" w:type="dxa"/>
            </w:tcMar>
          </w:tcPr>
          <w:p>
            <w:pPr>
              <w:spacing w:after="0"/>
            </w:pPr>
            <w:r/>
            <w:r>
              <w:rPr>
                <w:rFonts w:ascii="Aptos" w:hAnsi="Aptos"/>
                <w:b w:val="0"/>
                <w:color w:val="1F1F1F"/>
                <w:sz w:val="17"/>
              </w:rPr>
              <w:t>Core actions</w:t>
            </w:r>
          </w:p>
        </w:tc>
        <w:tc>
          <w:tcPr>
            <w:tcW w:type="dxa" w:w="7128"/>
            <w:vAlign w:val="center"/>
            <w:tcMar>
              <w:top w:w="90" w:type="dxa"/>
              <w:start w:w="110" w:type="dxa"/>
              <w:bottom w:w="90" w:type="dxa"/>
              <w:end w:w="110" w:type="dxa"/>
            </w:tcMar>
          </w:tcPr>
          <w:p>
            <w:pPr>
              <w:spacing w:after="0"/>
            </w:pPr>
            <w:r/>
            <w:r>
              <w:rPr>
                <w:rFonts w:ascii="Aptos" w:hAnsi="Aptos"/>
                <w:b w:val="0"/>
                <w:color w:val="1F1F1F"/>
                <w:sz w:val="17"/>
              </w:rPr>
              <w:t>Inspect schemas and keys; group related objects; recognize COTS patterns; identify probable customizations; infer candidate relationships; classify evidence as observed, inferred, or unresolved.</w:t>
            </w:r>
          </w:p>
        </w:tc>
      </w:tr>
      <w:tr>
        <w:tc>
          <w:tcPr>
            <w:tcW w:type="dxa" w:w="2015"/>
            <w:vAlign w:val="center"/>
            <w:tcMar>
              <w:top w:w="90" w:type="dxa"/>
              <w:start w:w="110" w:type="dxa"/>
              <w:bottom w:w="90" w:type="dxa"/>
              <w:end w:w="110" w:type="dxa"/>
            </w:tcMar>
          </w:tcPr>
          <w:p>
            <w:pPr>
              <w:spacing w:after="0"/>
            </w:pPr>
            <w:r/>
            <w:r>
              <w:rPr>
                <w:rFonts w:ascii="Aptos" w:hAnsi="Aptos"/>
                <w:b w:val="0"/>
                <w:color w:val="1F1F1F"/>
                <w:sz w:val="17"/>
              </w:rPr>
              <w:t>Outputs</w:t>
            </w:r>
          </w:p>
        </w:tc>
        <w:tc>
          <w:tcPr>
            <w:tcW w:type="dxa" w:w="7128"/>
            <w:vAlign w:val="center"/>
            <w:tcMar>
              <w:top w:w="90" w:type="dxa"/>
              <w:start w:w="110" w:type="dxa"/>
              <w:bottom w:w="90" w:type="dxa"/>
              <w:end w:w="110" w:type="dxa"/>
            </w:tcMar>
          </w:tcPr>
          <w:p>
            <w:pPr>
              <w:spacing w:after="0"/>
            </w:pPr>
            <w:r/>
            <w:r>
              <w:rPr>
                <w:rFonts w:ascii="Aptos" w:hAnsi="Aptos"/>
                <w:b w:val="0"/>
                <w:color w:val="1F1F1F"/>
                <w:sz w:val="17"/>
              </w:rPr>
              <w:t>Source observation catalog; proposed data dictionary; source-system recognition assessment; custom-extension register; evidence links; confidence components; assumptions and open questions.</w:t>
            </w:r>
          </w:p>
        </w:tc>
      </w:tr>
      <w:tr>
        <w:tc>
          <w:tcPr>
            <w:tcW w:type="dxa" w:w="2015"/>
            <w:vAlign w:val="center"/>
            <w:tcMar>
              <w:top w:w="90" w:type="dxa"/>
              <w:start w:w="110" w:type="dxa"/>
              <w:bottom w:w="90" w:type="dxa"/>
              <w:end w:w="110" w:type="dxa"/>
            </w:tcMar>
          </w:tcPr>
          <w:p>
            <w:pPr>
              <w:spacing w:after="0"/>
            </w:pPr>
            <w:r/>
            <w:r>
              <w:rPr>
                <w:rFonts w:ascii="Aptos" w:hAnsi="Aptos"/>
                <w:b w:val="0"/>
                <w:color w:val="1F1F1F"/>
                <w:sz w:val="17"/>
              </w:rPr>
              <w:t>Hard limits</w:t>
            </w:r>
          </w:p>
        </w:tc>
        <w:tc>
          <w:tcPr>
            <w:tcW w:type="dxa" w:w="7128"/>
            <w:vAlign w:val="center"/>
            <w:tcMar>
              <w:top w:w="90" w:type="dxa"/>
              <w:start w:w="110" w:type="dxa"/>
              <w:bottom w:w="90" w:type="dxa"/>
              <w:end w:w="110" w:type="dxa"/>
            </w:tcMar>
          </w:tcPr>
          <w:p>
            <w:pPr>
              <w:spacing w:after="0"/>
            </w:pPr>
            <w:r/>
            <w:r>
              <w:rPr>
                <w:rFonts w:ascii="Aptos" w:hAnsi="Aptos"/>
                <w:b w:val="0"/>
                <w:color w:val="1F1F1F"/>
                <w:sz w:val="17"/>
              </w:rPr>
              <w:t>No raw sensitive narrative indexing; no source writes; no target-schema deployment; no unstated inference presented as fact.</w:t>
            </w:r>
          </w:p>
        </w:tc>
      </w:tr>
      <w:tr>
        <w:tc>
          <w:tcPr>
            <w:tcW w:type="dxa" w:w="2015"/>
            <w:vAlign w:val="center"/>
            <w:tcMar>
              <w:top w:w="90" w:type="dxa"/>
              <w:start w:w="110" w:type="dxa"/>
              <w:bottom w:w="90" w:type="dxa"/>
              <w:end w:w="110" w:type="dxa"/>
            </w:tcMar>
          </w:tcPr>
          <w:p>
            <w:pPr>
              <w:spacing w:after="0"/>
            </w:pPr>
            <w:r/>
            <w:r>
              <w:rPr>
                <w:rFonts w:ascii="Aptos" w:hAnsi="Aptos"/>
                <w:b w:val="0"/>
                <w:color w:val="1F1F1F"/>
                <w:sz w:val="17"/>
              </w:rPr>
              <w:t>Escalation</w:t>
            </w:r>
          </w:p>
        </w:tc>
        <w:tc>
          <w:tcPr>
            <w:tcW w:type="dxa" w:w="7128"/>
            <w:vAlign w:val="center"/>
            <w:tcMar>
              <w:top w:w="90" w:type="dxa"/>
              <w:start w:w="110" w:type="dxa"/>
              <w:bottom w:w="90" w:type="dxa"/>
              <w:end w:w="110" w:type="dxa"/>
            </w:tcMar>
          </w:tcPr>
          <w:p>
            <w:pPr>
              <w:spacing w:after="0"/>
            </w:pPr>
            <w:r/>
            <w:r>
              <w:rPr>
                <w:rFonts w:ascii="Aptos" w:hAnsi="Aptos"/>
                <w:b w:val="0"/>
                <w:color w:val="1F1F1F"/>
                <w:sz w:val="17"/>
              </w:rPr>
              <w:t>Route missing evidence, contradictory evidence, low-confidence semantics, unknown identifiers, and potential privacy issues to the assigned reviewer.</w:t>
            </w:r>
          </w:p>
        </w:tc>
      </w:tr>
      <w:tr>
        <w:tc>
          <w:tcPr>
            <w:tcW w:type="dxa" w:w="2015"/>
            <w:vAlign w:val="center"/>
            <w:tcMar>
              <w:top w:w="90" w:type="dxa"/>
              <w:start w:w="110" w:type="dxa"/>
              <w:bottom w:w="90" w:type="dxa"/>
              <w:end w:w="110" w:type="dxa"/>
            </w:tcMar>
          </w:tcPr>
          <w:p>
            <w:pPr>
              <w:spacing w:after="0"/>
            </w:pPr>
            <w:r/>
            <w:r>
              <w:rPr>
                <w:rFonts w:ascii="Aptos" w:hAnsi="Aptos"/>
                <w:b w:val="0"/>
                <w:color w:val="1F1F1F"/>
                <w:sz w:val="17"/>
              </w:rPr>
              <w:t>Quality checks</w:t>
            </w:r>
          </w:p>
        </w:tc>
        <w:tc>
          <w:tcPr>
            <w:tcW w:type="dxa" w:w="7128"/>
            <w:vAlign w:val="center"/>
            <w:tcMar>
              <w:top w:w="90" w:type="dxa"/>
              <w:start w:w="110" w:type="dxa"/>
              <w:bottom w:w="90" w:type="dxa"/>
              <w:end w:w="110" w:type="dxa"/>
            </w:tcMar>
          </w:tcPr>
          <w:p>
            <w:pPr>
              <w:spacing w:after="0"/>
            </w:pPr>
            <w:r/>
            <w:r>
              <w:rPr>
                <w:rFonts w:ascii="Aptos" w:hAnsi="Aptos"/>
                <w:b w:val="0"/>
                <w:color w:val="1F1F1F"/>
                <w:sz w:val="17"/>
              </w:rPr>
              <w:t>Every proposed meaning has evidence; physical metadata is retained; confidence reasons are recorded; unresolved items are distinct from mapped items.</w:t>
            </w:r>
          </w:p>
        </w:tc>
      </w:tr>
    </w:tbl>
    <w:p>
      <w:pPr>
        <w:spacing w:after="20"/>
      </w:pPr>
    </w:p>
    <w:p>
      <w:pPr>
        <w:pStyle w:val="Heading1"/>
        <w:keepNext/>
      </w:pPr>
      <w:r>
        <w:t>5. Source data dictionary and observation-catalog schema</w:t>
      </w:r>
    </w:p>
    <w:p>
      <w:pPr>
        <w:pStyle w:val="BodyText"/>
      </w:pPr>
      <w:r>
        <w:t>The data dictionary is a governed recommendation artifact. It preserves the physical source facts and separately records proposed semantic interpretations, so reviewers can distinguish observation from inference.</w:t>
      </w:r>
    </w:p>
    <w:tbl>
      <w:tblPr>
        <w:tblW w:type="auto" w:w="0"/>
        <w:jc w:val="left"/>
        <w:tblLayout w:type="fixed"/>
        <w:tblLook w:firstColumn="1" w:firstRow="1" w:lastColumn="0" w:lastRow="0" w:noHBand="0" w:noVBand="1" w:val="04A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3312"/>
        <w:gridCol w:w="3312"/>
        <w:gridCol w:w="3312"/>
      </w:tblGrid>
      <w:tr>
        <w:trPr>
          <w:tblHeader w:val="true"/>
        </w:trPr>
        <w:tc>
          <w:tcPr>
            <w:tcW w:type="dxa" w:w="1800"/>
            <w:shd w:fill="17365D"/>
            <w:vAlign w:val="center"/>
            <w:tcMar>
              <w:top w:w="90" w:type="dxa"/>
              <w:start w:w="110" w:type="dxa"/>
              <w:bottom w:w="90" w:type="dxa"/>
              <w:end w:w="110" w:type="dxa"/>
            </w:tcMar>
          </w:tcPr>
          <w:p>
            <w:pPr>
              <w:spacing w:after="0"/>
            </w:pPr>
            <w:r/>
            <w:r>
              <w:rPr>
                <w:rFonts w:ascii="Aptos" w:hAnsi="Aptos"/>
                <w:b/>
                <w:color w:val="FFFFFF"/>
                <w:sz w:val="17"/>
              </w:rPr>
              <w:t>Field group</w:t>
            </w:r>
          </w:p>
        </w:tc>
        <w:tc>
          <w:tcPr>
            <w:tcW w:type="dxa" w:w="5184"/>
            <w:shd w:fill="17365D"/>
            <w:vAlign w:val="center"/>
            <w:tcMar>
              <w:top w:w="90" w:type="dxa"/>
              <w:start w:w="110" w:type="dxa"/>
              <w:bottom w:w="90" w:type="dxa"/>
              <w:end w:w="110" w:type="dxa"/>
            </w:tcMar>
          </w:tcPr>
          <w:p>
            <w:pPr>
              <w:spacing w:after="0"/>
            </w:pPr>
            <w:r/>
            <w:r>
              <w:rPr>
                <w:rFonts w:ascii="Aptos" w:hAnsi="Aptos"/>
                <w:b/>
                <w:color w:val="FFFFFF"/>
                <w:sz w:val="17"/>
              </w:rPr>
              <w:t>Minimum fields</w:t>
            </w:r>
          </w:p>
        </w:tc>
        <w:tc>
          <w:tcPr>
            <w:tcW w:type="dxa" w:w="2160"/>
            <w:shd w:fill="17365D"/>
            <w:vAlign w:val="center"/>
            <w:tcMar>
              <w:top w:w="90" w:type="dxa"/>
              <w:start w:w="110" w:type="dxa"/>
              <w:bottom w:w="90" w:type="dxa"/>
              <w:end w:w="110" w:type="dxa"/>
            </w:tcMar>
          </w:tcPr>
          <w:p>
            <w:pPr>
              <w:spacing w:after="0"/>
            </w:pPr>
            <w:r/>
            <w:r>
              <w:rPr>
                <w:rFonts w:ascii="Aptos" w:hAnsi="Aptos"/>
                <w:b/>
                <w:color w:val="FFFFFF"/>
                <w:sz w:val="17"/>
              </w:rPr>
              <w:t>Purpose</w:t>
            </w:r>
          </w:p>
        </w:tc>
      </w:tr>
      <w:tr>
        <w:tc>
          <w:tcPr>
            <w:tcW w:type="dxa" w:w="1800"/>
            <w:vAlign w:val="center"/>
            <w:tcMar>
              <w:top w:w="90" w:type="dxa"/>
              <w:start w:w="110" w:type="dxa"/>
              <w:bottom w:w="90" w:type="dxa"/>
              <w:end w:w="110" w:type="dxa"/>
            </w:tcMar>
          </w:tcPr>
          <w:p>
            <w:pPr>
              <w:spacing w:after="0"/>
            </w:pPr>
            <w:r/>
            <w:r>
              <w:rPr>
                <w:rFonts w:ascii="Aptos" w:hAnsi="Aptos"/>
                <w:b w:val="0"/>
                <w:color w:val="1F1F1F"/>
                <w:sz w:val="17"/>
              </w:rPr>
              <w:t>Identity and scope</w:t>
            </w:r>
          </w:p>
        </w:tc>
        <w:tc>
          <w:tcPr>
            <w:tcW w:type="dxa" w:w="5184"/>
            <w:vAlign w:val="center"/>
            <w:tcMar>
              <w:top w:w="90" w:type="dxa"/>
              <w:start w:w="110" w:type="dxa"/>
              <w:bottom w:w="90" w:type="dxa"/>
              <w:end w:w="110" w:type="dxa"/>
            </w:tcMar>
          </w:tcPr>
          <w:p>
            <w:pPr>
              <w:spacing w:after="0"/>
            </w:pPr>
            <w:r/>
            <w:r>
              <w:rPr>
                <w:rFonts w:ascii="Aptos" w:hAnsi="Aptos"/>
                <w:b w:val="0"/>
                <w:color w:val="1F1F1F"/>
                <w:sz w:val="17"/>
              </w:rPr>
              <w:t>engagement_id, source_system, product, module, version, domain, LOB, object_name, attribute_name</w:t>
            </w:r>
          </w:p>
        </w:tc>
        <w:tc>
          <w:tcPr>
            <w:tcW w:type="dxa" w:w="2160"/>
            <w:vAlign w:val="center"/>
            <w:tcMar>
              <w:top w:w="90" w:type="dxa"/>
              <w:start w:w="110" w:type="dxa"/>
              <w:bottom w:w="90" w:type="dxa"/>
              <w:end w:w="110" w:type="dxa"/>
            </w:tcMar>
          </w:tcPr>
          <w:p>
            <w:pPr>
              <w:spacing w:after="0"/>
            </w:pPr>
            <w:r/>
            <w:r>
              <w:rPr>
                <w:rFonts w:ascii="Aptos" w:hAnsi="Aptos"/>
                <w:b w:val="0"/>
                <w:color w:val="1F1F1F"/>
                <w:sz w:val="17"/>
              </w:rPr>
              <w:t>Establish the exact source and pilot boundary.</w:t>
            </w:r>
          </w:p>
        </w:tc>
      </w:tr>
      <w:tr>
        <w:tc>
          <w:tcPr>
            <w:tcW w:type="dxa" w:w="1800"/>
            <w:vAlign w:val="center"/>
            <w:tcMar>
              <w:top w:w="90" w:type="dxa"/>
              <w:start w:w="110" w:type="dxa"/>
              <w:bottom w:w="90" w:type="dxa"/>
              <w:end w:w="110" w:type="dxa"/>
            </w:tcMar>
          </w:tcPr>
          <w:p>
            <w:pPr>
              <w:spacing w:after="0"/>
            </w:pPr>
            <w:r/>
            <w:r>
              <w:rPr>
                <w:rFonts w:ascii="Aptos" w:hAnsi="Aptos"/>
                <w:b w:val="0"/>
                <w:color w:val="1F1F1F"/>
                <w:sz w:val="17"/>
              </w:rPr>
              <w:t>Physical observation</w:t>
            </w:r>
          </w:p>
        </w:tc>
        <w:tc>
          <w:tcPr>
            <w:tcW w:type="dxa" w:w="5184"/>
            <w:vAlign w:val="center"/>
            <w:tcMar>
              <w:top w:w="90" w:type="dxa"/>
              <w:start w:w="110" w:type="dxa"/>
              <w:bottom w:w="90" w:type="dxa"/>
              <w:end w:w="110" w:type="dxa"/>
            </w:tcMar>
          </w:tcPr>
          <w:p>
            <w:pPr>
              <w:spacing w:after="0"/>
            </w:pPr>
            <w:r/>
            <w:r>
              <w:rPr>
                <w:rFonts w:ascii="Aptos" w:hAnsi="Aptos"/>
                <w:b w:val="0"/>
                <w:color w:val="1F1F1F"/>
                <w:sz w:val="17"/>
              </w:rPr>
              <w:t>physical_type, length/precision, nullability, key_role, ordinal_position, relationship evidence, profile summary</w:t>
            </w:r>
          </w:p>
        </w:tc>
        <w:tc>
          <w:tcPr>
            <w:tcW w:type="dxa" w:w="2160"/>
            <w:vAlign w:val="center"/>
            <w:tcMar>
              <w:top w:w="90" w:type="dxa"/>
              <w:start w:w="110" w:type="dxa"/>
              <w:bottom w:w="90" w:type="dxa"/>
              <w:end w:w="110" w:type="dxa"/>
            </w:tcMar>
          </w:tcPr>
          <w:p>
            <w:pPr>
              <w:spacing w:after="0"/>
            </w:pPr>
            <w:r/>
            <w:r>
              <w:rPr>
                <w:rFonts w:ascii="Aptos" w:hAnsi="Aptos"/>
                <w:b w:val="0"/>
                <w:color w:val="1F1F1F"/>
                <w:sz w:val="17"/>
              </w:rPr>
              <w:t>Record observed source facts without semantic overclaim.</w:t>
            </w:r>
          </w:p>
        </w:tc>
      </w:tr>
      <w:tr>
        <w:tc>
          <w:tcPr>
            <w:tcW w:type="dxa" w:w="1800"/>
            <w:vAlign w:val="center"/>
            <w:tcMar>
              <w:top w:w="90" w:type="dxa"/>
              <w:start w:w="110" w:type="dxa"/>
              <w:bottom w:w="90" w:type="dxa"/>
              <w:end w:w="110" w:type="dxa"/>
            </w:tcMar>
          </w:tcPr>
          <w:p>
            <w:pPr>
              <w:spacing w:after="0"/>
            </w:pPr>
            <w:r/>
            <w:r>
              <w:rPr>
                <w:rFonts w:ascii="Aptos" w:hAnsi="Aptos"/>
                <w:b w:val="0"/>
                <w:color w:val="1F1F1F"/>
                <w:sz w:val="17"/>
              </w:rPr>
              <w:t>Semantic proposal</w:t>
            </w:r>
          </w:p>
        </w:tc>
        <w:tc>
          <w:tcPr>
            <w:tcW w:type="dxa" w:w="5184"/>
            <w:vAlign w:val="center"/>
            <w:tcMar>
              <w:top w:w="90" w:type="dxa"/>
              <w:start w:w="110" w:type="dxa"/>
              <w:bottom w:w="90" w:type="dxa"/>
              <w:end w:w="110" w:type="dxa"/>
            </w:tcMar>
          </w:tcPr>
          <w:p>
            <w:pPr>
              <w:spacing w:after="0"/>
            </w:pPr>
            <w:r/>
            <w:r>
              <w:rPr>
                <w:rFonts w:ascii="Aptos" w:hAnsi="Aptos"/>
                <w:b w:val="0"/>
                <w:color w:val="1F1F1F"/>
                <w:sz w:val="17"/>
              </w:rPr>
              <w:t>proposed_business_name, definition, ontology_concept_id, synonym, domain/LOB, lifecycle state</w:t>
            </w:r>
          </w:p>
        </w:tc>
        <w:tc>
          <w:tcPr>
            <w:tcW w:type="dxa" w:w="2160"/>
            <w:vAlign w:val="center"/>
            <w:tcMar>
              <w:top w:w="90" w:type="dxa"/>
              <w:start w:w="110" w:type="dxa"/>
              <w:bottom w:w="90" w:type="dxa"/>
              <w:end w:w="110" w:type="dxa"/>
            </w:tcMar>
          </w:tcPr>
          <w:p>
            <w:pPr>
              <w:spacing w:after="0"/>
            </w:pPr>
            <w:r/>
            <w:r>
              <w:rPr>
                <w:rFonts w:ascii="Aptos" w:hAnsi="Aptos"/>
                <w:b w:val="0"/>
                <w:color w:val="1F1F1F"/>
                <w:sz w:val="17"/>
              </w:rPr>
              <w:t>Capture proposed meaning and ontology mapping.</w:t>
            </w:r>
          </w:p>
        </w:tc>
      </w:tr>
      <w:tr>
        <w:tc>
          <w:tcPr>
            <w:tcW w:type="dxa" w:w="1800"/>
            <w:vAlign w:val="center"/>
            <w:tcMar>
              <w:top w:w="90" w:type="dxa"/>
              <w:start w:w="110" w:type="dxa"/>
              <w:bottom w:w="90" w:type="dxa"/>
              <w:end w:w="110" w:type="dxa"/>
            </w:tcMar>
          </w:tcPr>
          <w:p>
            <w:pPr>
              <w:spacing w:after="0"/>
            </w:pPr>
            <w:r/>
            <w:r>
              <w:rPr>
                <w:rFonts w:ascii="Aptos" w:hAnsi="Aptos"/>
                <w:b w:val="0"/>
                <w:color w:val="1F1F1F"/>
                <w:sz w:val="17"/>
              </w:rPr>
              <w:t>Trust and evidence</w:t>
            </w:r>
          </w:p>
        </w:tc>
        <w:tc>
          <w:tcPr>
            <w:tcW w:type="dxa" w:w="5184"/>
            <w:vAlign w:val="center"/>
            <w:tcMar>
              <w:top w:w="90" w:type="dxa"/>
              <w:start w:w="110" w:type="dxa"/>
              <w:bottom w:w="90" w:type="dxa"/>
              <w:end w:w="110" w:type="dxa"/>
            </w:tcMar>
          </w:tcPr>
          <w:p>
            <w:pPr>
              <w:spacing w:after="0"/>
            </w:pPr>
            <w:r/>
            <w:r>
              <w:rPr>
                <w:rFonts w:ascii="Aptos" w:hAnsi="Aptos"/>
                <w:b w:val="0"/>
                <w:color w:val="1F1F1F"/>
                <w:sz w:val="17"/>
              </w:rPr>
              <w:t>observed_or_inferred, evidence_refs, confidence_score, component_scores, assumptions, contradictions, open_questions</w:t>
            </w:r>
          </w:p>
        </w:tc>
        <w:tc>
          <w:tcPr>
            <w:tcW w:type="dxa" w:w="2160"/>
            <w:vAlign w:val="center"/>
            <w:tcMar>
              <w:top w:w="90" w:type="dxa"/>
              <w:start w:w="110" w:type="dxa"/>
              <w:bottom w:w="90" w:type="dxa"/>
              <w:end w:w="110" w:type="dxa"/>
            </w:tcMar>
          </w:tcPr>
          <w:p>
            <w:pPr>
              <w:spacing w:after="0"/>
            </w:pPr>
            <w:r/>
            <w:r>
              <w:rPr>
                <w:rFonts w:ascii="Aptos" w:hAnsi="Aptos"/>
                <w:b w:val="0"/>
                <w:color w:val="1F1F1F"/>
                <w:sz w:val="17"/>
              </w:rPr>
              <w:t>Make the recommendation reviewable and calibratable.</w:t>
            </w:r>
          </w:p>
        </w:tc>
      </w:tr>
      <w:tr>
        <w:tc>
          <w:tcPr>
            <w:tcW w:type="dxa" w:w="1800"/>
            <w:vAlign w:val="center"/>
            <w:tcMar>
              <w:top w:w="90" w:type="dxa"/>
              <w:start w:w="110" w:type="dxa"/>
              <w:bottom w:w="90" w:type="dxa"/>
              <w:end w:w="110" w:type="dxa"/>
            </w:tcMar>
          </w:tcPr>
          <w:p>
            <w:pPr>
              <w:spacing w:after="0"/>
            </w:pPr>
            <w:r/>
            <w:r>
              <w:rPr>
                <w:rFonts w:ascii="Aptos" w:hAnsi="Aptos"/>
                <w:b w:val="0"/>
                <w:color w:val="1F1F1F"/>
                <w:sz w:val="17"/>
              </w:rPr>
              <w:t>Governance</w:t>
            </w:r>
          </w:p>
        </w:tc>
        <w:tc>
          <w:tcPr>
            <w:tcW w:type="dxa" w:w="5184"/>
            <w:vAlign w:val="center"/>
            <w:tcMar>
              <w:top w:w="90" w:type="dxa"/>
              <w:start w:w="110" w:type="dxa"/>
              <w:bottom w:w="90" w:type="dxa"/>
              <w:end w:w="110" w:type="dxa"/>
            </w:tcMar>
          </w:tcPr>
          <w:p>
            <w:pPr>
              <w:spacing w:after="0"/>
            </w:pPr>
            <w:r/>
            <w:r>
              <w:rPr>
                <w:rFonts w:ascii="Aptos" w:hAnsi="Aptos"/>
                <w:b w:val="0"/>
                <w:color w:val="1F1F1F"/>
                <w:sz w:val="17"/>
              </w:rPr>
              <w:t>privacy_class, privacy_rationale, owner, reviewer, approval_state, decision_rationale, artifact_version</w:t>
            </w:r>
          </w:p>
        </w:tc>
        <w:tc>
          <w:tcPr>
            <w:tcW w:type="dxa" w:w="2160"/>
            <w:vAlign w:val="center"/>
            <w:tcMar>
              <w:top w:w="90" w:type="dxa"/>
              <w:start w:w="110" w:type="dxa"/>
              <w:bottom w:w="90" w:type="dxa"/>
              <w:end w:w="110" w:type="dxa"/>
            </w:tcMar>
          </w:tcPr>
          <w:p>
            <w:pPr>
              <w:spacing w:after="0"/>
            </w:pPr>
            <w:r/>
            <w:r>
              <w:rPr>
                <w:rFonts w:ascii="Aptos" w:hAnsi="Aptos"/>
                <w:b w:val="0"/>
                <w:color w:val="1F1F1F"/>
                <w:sz w:val="17"/>
              </w:rPr>
              <w:t>Support controlled approval and reuse.</w:t>
            </w:r>
          </w:p>
        </w:tc>
      </w:tr>
      <w:tr>
        <w:tc>
          <w:tcPr>
            <w:tcW w:type="dxa" w:w="1800"/>
            <w:vAlign w:val="center"/>
            <w:tcMar>
              <w:top w:w="90" w:type="dxa"/>
              <w:start w:w="110" w:type="dxa"/>
              <w:bottom w:w="90" w:type="dxa"/>
              <w:end w:w="110" w:type="dxa"/>
            </w:tcMar>
          </w:tcPr>
          <w:p>
            <w:pPr>
              <w:spacing w:after="0"/>
            </w:pPr>
            <w:r/>
            <w:r>
              <w:rPr>
                <w:rFonts w:ascii="Aptos" w:hAnsi="Aptos"/>
                <w:b w:val="0"/>
                <w:color w:val="1F1F1F"/>
                <w:sz w:val="17"/>
              </w:rPr>
              <w:t>Lineage</w:t>
            </w:r>
          </w:p>
        </w:tc>
        <w:tc>
          <w:tcPr>
            <w:tcW w:type="dxa" w:w="5184"/>
            <w:vAlign w:val="center"/>
            <w:tcMar>
              <w:top w:w="90" w:type="dxa"/>
              <w:start w:w="110" w:type="dxa"/>
              <w:bottom w:w="90" w:type="dxa"/>
              <w:end w:w="110" w:type="dxa"/>
            </w:tcMar>
          </w:tcPr>
          <w:p>
            <w:pPr>
              <w:spacing w:after="0"/>
            </w:pPr>
            <w:r/>
            <w:r>
              <w:rPr>
                <w:rFonts w:ascii="Aptos" w:hAnsi="Aptos"/>
                <w:b w:val="0"/>
                <w:color w:val="1F1F1F"/>
                <w:sz w:val="17"/>
              </w:rPr>
              <w:t>source_query_or_catalog_ref, run_id, model_version, prompt_version, knowledge_pack_versions, timestamp</w:t>
            </w:r>
          </w:p>
        </w:tc>
        <w:tc>
          <w:tcPr>
            <w:tcW w:type="dxa" w:w="2160"/>
            <w:vAlign w:val="center"/>
            <w:tcMar>
              <w:top w:w="90" w:type="dxa"/>
              <w:start w:w="110" w:type="dxa"/>
              <w:bottom w:w="90" w:type="dxa"/>
              <w:end w:w="110" w:type="dxa"/>
            </w:tcMar>
          </w:tcPr>
          <w:p>
            <w:pPr>
              <w:spacing w:after="0"/>
            </w:pPr>
            <w:r/>
            <w:r>
              <w:rPr>
                <w:rFonts w:ascii="Aptos" w:hAnsi="Aptos"/>
                <w:b w:val="0"/>
                <w:color w:val="1F1F1F"/>
                <w:sz w:val="17"/>
              </w:rPr>
              <w:t>Provide reproducibility and auditability.</w:t>
            </w:r>
          </w:p>
        </w:tc>
      </w:tr>
    </w:tbl>
    <w:p>
      <w:pPr>
        <w:spacing w:after="20"/>
      </w:pPr>
    </w:p>
    <w:p>
      <w:pPr>
        <w:pStyle w:val="Heading1"/>
        <w:keepNext/>
      </w:pPr>
      <w:r>
        <w:t>6. Workflow, state, and recovery design</w:t>
      </w:r>
    </w:p>
    <w:tbl>
      <w:tblPr>
        <w:tblW w:type="auto" w:w="0"/>
        <w:jc w:val="left"/>
        <w:tblLayout w:type="fixed"/>
        <w:tblLook w:firstColumn="1" w:firstRow="1" w:lastColumn="0" w:lastRow="0" w:noHBand="0" w:noVBand="1" w:val="04A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3312"/>
        <w:gridCol w:w="3312"/>
        <w:gridCol w:w="3312"/>
      </w:tblGrid>
      <w:tr>
        <w:trPr>
          <w:tblHeader w:val="true"/>
        </w:trPr>
        <w:tc>
          <w:tcPr>
            <w:tcW w:type="dxa" w:w="1944"/>
            <w:shd w:fill="17365D"/>
            <w:vAlign w:val="center"/>
            <w:tcMar>
              <w:top w:w="90" w:type="dxa"/>
              <w:start w:w="110" w:type="dxa"/>
              <w:bottom w:w="90" w:type="dxa"/>
              <w:end w:w="110" w:type="dxa"/>
            </w:tcMar>
          </w:tcPr>
          <w:p>
            <w:pPr>
              <w:spacing w:after="0"/>
            </w:pPr>
            <w:r/>
            <w:r>
              <w:rPr>
                <w:rFonts w:ascii="Aptos" w:hAnsi="Aptos"/>
                <w:b/>
                <w:color w:val="FFFFFF"/>
                <w:sz w:val="17"/>
              </w:rPr>
              <w:t>Stage</w:t>
            </w:r>
          </w:p>
        </w:tc>
        <w:tc>
          <w:tcPr>
            <w:tcW w:type="dxa" w:w="3096"/>
            <w:shd w:fill="17365D"/>
            <w:vAlign w:val="center"/>
            <w:tcMar>
              <w:top w:w="90" w:type="dxa"/>
              <w:start w:w="110" w:type="dxa"/>
              <w:bottom w:w="90" w:type="dxa"/>
              <w:end w:w="110" w:type="dxa"/>
            </w:tcMar>
          </w:tcPr>
          <w:p>
            <w:pPr>
              <w:spacing w:after="0"/>
            </w:pPr>
            <w:r/>
            <w:r>
              <w:rPr>
                <w:rFonts w:ascii="Aptos" w:hAnsi="Aptos"/>
                <w:b/>
                <w:color w:val="FFFFFF"/>
                <w:sz w:val="17"/>
              </w:rPr>
              <w:t>State transition</w:t>
            </w:r>
          </w:p>
        </w:tc>
        <w:tc>
          <w:tcPr>
            <w:tcW w:type="dxa" w:w="4104"/>
            <w:shd w:fill="17365D"/>
            <w:vAlign w:val="center"/>
            <w:tcMar>
              <w:top w:w="90" w:type="dxa"/>
              <w:start w:w="110" w:type="dxa"/>
              <w:bottom w:w="90" w:type="dxa"/>
              <w:end w:w="110" w:type="dxa"/>
            </w:tcMar>
          </w:tcPr>
          <w:p>
            <w:pPr>
              <w:spacing w:after="0"/>
            </w:pPr>
            <w:r/>
            <w:r>
              <w:rPr>
                <w:rFonts w:ascii="Aptos" w:hAnsi="Aptos"/>
                <w:b/>
                <w:color w:val="FFFFFF"/>
                <w:sz w:val="17"/>
              </w:rPr>
              <w:t>Recovery behavior</w:t>
            </w:r>
          </w:p>
        </w:tc>
      </w:tr>
      <w:tr>
        <w:tc>
          <w:tcPr>
            <w:tcW w:type="dxa" w:w="1944"/>
            <w:vAlign w:val="center"/>
            <w:tcMar>
              <w:top w:w="90" w:type="dxa"/>
              <w:start w:w="110" w:type="dxa"/>
              <w:bottom w:w="90" w:type="dxa"/>
              <w:end w:w="110" w:type="dxa"/>
            </w:tcMar>
          </w:tcPr>
          <w:p>
            <w:pPr>
              <w:spacing w:after="0"/>
            </w:pPr>
            <w:r/>
            <w:r>
              <w:rPr>
                <w:rFonts w:ascii="Aptos" w:hAnsi="Aptos"/>
                <w:b w:val="0"/>
                <w:color w:val="1F1F1F"/>
                <w:sz w:val="17"/>
              </w:rPr>
              <w:t>Create run</w:t>
            </w:r>
          </w:p>
        </w:tc>
        <w:tc>
          <w:tcPr>
            <w:tcW w:type="dxa" w:w="3096"/>
            <w:vAlign w:val="center"/>
            <w:tcMar>
              <w:top w:w="90" w:type="dxa"/>
              <w:start w:w="110" w:type="dxa"/>
              <w:bottom w:w="90" w:type="dxa"/>
              <w:end w:w="110" w:type="dxa"/>
            </w:tcMar>
          </w:tcPr>
          <w:p>
            <w:pPr>
              <w:spacing w:after="0"/>
            </w:pPr>
            <w:r/>
            <w:r>
              <w:rPr>
                <w:rFonts w:ascii="Aptos" w:hAnsi="Aptos"/>
                <w:b w:val="0"/>
                <w:color w:val="1F1F1F"/>
                <w:sz w:val="17"/>
              </w:rPr>
              <w:t>pending → running</w:t>
            </w:r>
          </w:p>
        </w:tc>
        <w:tc>
          <w:tcPr>
            <w:tcW w:type="dxa" w:w="4104"/>
            <w:vAlign w:val="center"/>
            <w:tcMar>
              <w:top w:w="90" w:type="dxa"/>
              <w:start w:w="110" w:type="dxa"/>
              <w:bottom w:w="90" w:type="dxa"/>
              <w:end w:w="110" w:type="dxa"/>
            </w:tcMar>
          </w:tcPr>
          <w:p>
            <w:pPr>
              <w:spacing w:after="0"/>
            </w:pPr>
            <w:r/>
            <w:r>
              <w:rPr>
                <w:rFonts w:ascii="Aptos" w:hAnsi="Aptos"/>
                <w:b w:val="0"/>
                <w:color w:val="1F1F1F"/>
                <w:sz w:val="17"/>
              </w:rPr>
              <w:t>Assign immutable run ID, scope version, context versions, and idempotency key.</w:t>
            </w:r>
          </w:p>
        </w:tc>
      </w:tr>
      <w:tr>
        <w:tc>
          <w:tcPr>
            <w:tcW w:type="dxa" w:w="1944"/>
            <w:vAlign w:val="center"/>
            <w:tcMar>
              <w:top w:w="90" w:type="dxa"/>
              <w:start w:w="110" w:type="dxa"/>
              <w:bottom w:w="90" w:type="dxa"/>
              <w:end w:w="110" w:type="dxa"/>
            </w:tcMar>
          </w:tcPr>
          <w:p>
            <w:pPr>
              <w:spacing w:after="0"/>
            </w:pPr>
            <w:r/>
            <w:r>
              <w:rPr>
                <w:rFonts w:ascii="Aptos" w:hAnsi="Aptos"/>
                <w:b w:val="0"/>
                <w:color w:val="1F1F1F"/>
                <w:sz w:val="17"/>
              </w:rPr>
              <w:t>Source observation</w:t>
            </w:r>
          </w:p>
        </w:tc>
        <w:tc>
          <w:tcPr>
            <w:tcW w:type="dxa" w:w="3096"/>
            <w:vAlign w:val="center"/>
            <w:tcMar>
              <w:top w:w="90" w:type="dxa"/>
              <w:start w:w="110" w:type="dxa"/>
              <w:bottom w:w="90" w:type="dxa"/>
              <w:end w:w="110" w:type="dxa"/>
            </w:tcMar>
          </w:tcPr>
          <w:p>
            <w:pPr>
              <w:spacing w:after="0"/>
            </w:pPr>
            <w:r/>
            <w:r>
              <w:rPr>
                <w:rFonts w:ascii="Aptos" w:hAnsi="Aptos"/>
                <w:b w:val="0"/>
                <w:color w:val="1F1F1F"/>
                <w:sz w:val="17"/>
              </w:rPr>
              <w:t>running → completed / needs-clarification / failed</w:t>
            </w:r>
          </w:p>
        </w:tc>
        <w:tc>
          <w:tcPr>
            <w:tcW w:type="dxa" w:w="4104"/>
            <w:vAlign w:val="center"/>
            <w:tcMar>
              <w:top w:w="90" w:type="dxa"/>
              <w:start w:w="110" w:type="dxa"/>
              <w:bottom w:w="90" w:type="dxa"/>
              <w:end w:w="110" w:type="dxa"/>
            </w:tcMar>
          </w:tcPr>
          <w:p>
            <w:pPr>
              <w:spacing w:after="0"/>
            </w:pPr>
            <w:r/>
            <w:r>
              <w:rPr>
                <w:rFonts w:ascii="Aptos" w:hAnsi="Aptos"/>
                <w:b w:val="0"/>
                <w:color w:val="1F1F1F"/>
                <w:sz w:val="17"/>
              </w:rPr>
              <w:t>Retry transient technical errors. Route insufficient evidence or sensitive-data exceptions to a reviewer.</w:t>
            </w:r>
          </w:p>
        </w:tc>
      </w:tr>
      <w:tr>
        <w:tc>
          <w:tcPr>
            <w:tcW w:type="dxa" w:w="1944"/>
            <w:vAlign w:val="center"/>
            <w:tcMar>
              <w:top w:w="90" w:type="dxa"/>
              <w:start w:w="110" w:type="dxa"/>
              <w:bottom w:w="90" w:type="dxa"/>
              <w:end w:w="110" w:type="dxa"/>
            </w:tcMar>
          </w:tcPr>
          <w:p>
            <w:pPr>
              <w:spacing w:after="0"/>
            </w:pPr>
            <w:r/>
            <w:r>
              <w:rPr>
                <w:rFonts w:ascii="Aptos" w:hAnsi="Aptos"/>
                <w:b w:val="0"/>
                <w:color w:val="1F1F1F"/>
                <w:sz w:val="17"/>
              </w:rPr>
              <w:t>Semantic and model recommendation</w:t>
            </w:r>
          </w:p>
        </w:tc>
        <w:tc>
          <w:tcPr>
            <w:tcW w:type="dxa" w:w="3096"/>
            <w:vAlign w:val="center"/>
            <w:tcMar>
              <w:top w:w="90" w:type="dxa"/>
              <w:start w:w="110" w:type="dxa"/>
              <w:bottom w:w="90" w:type="dxa"/>
              <w:end w:w="110" w:type="dxa"/>
            </w:tcMar>
          </w:tcPr>
          <w:p>
            <w:pPr>
              <w:spacing w:after="0"/>
            </w:pPr>
            <w:r/>
            <w:r>
              <w:rPr>
                <w:rFonts w:ascii="Aptos" w:hAnsi="Aptos"/>
                <w:b w:val="0"/>
                <w:color w:val="1F1F1F"/>
                <w:sz w:val="17"/>
              </w:rPr>
              <w:t>completed → downstream task queued</w:t>
            </w:r>
          </w:p>
        </w:tc>
        <w:tc>
          <w:tcPr>
            <w:tcW w:type="dxa" w:w="4104"/>
            <w:vAlign w:val="center"/>
            <w:tcMar>
              <w:top w:w="90" w:type="dxa"/>
              <w:start w:w="110" w:type="dxa"/>
              <w:bottom w:w="90" w:type="dxa"/>
              <w:end w:w="110" w:type="dxa"/>
            </w:tcMar>
          </w:tcPr>
          <w:p>
            <w:pPr>
              <w:spacing w:after="0"/>
            </w:pPr>
            <w:r/>
            <w:r>
              <w:rPr>
                <w:rFonts w:ascii="Aptos" w:hAnsi="Aptos"/>
                <w:b w:val="0"/>
                <w:color w:val="1F1F1F"/>
                <w:sz w:val="17"/>
              </w:rPr>
              <w:t>Run only when prerequisite artifact versions are valid and within pilot scope.</w:t>
            </w:r>
          </w:p>
        </w:tc>
      </w:tr>
      <w:tr>
        <w:tc>
          <w:tcPr>
            <w:tcW w:type="dxa" w:w="1944"/>
            <w:vAlign w:val="center"/>
            <w:tcMar>
              <w:top w:w="90" w:type="dxa"/>
              <w:start w:w="110" w:type="dxa"/>
              <w:bottom w:w="90" w:type="dxa"/>
              <w:end w:w="110" w:type="dxa"/>
            </w:tcMar>
          </w:tcPr>
          <w:p>
            <w:pPr>
              <w:spacing w:after="0"/>
            </w:pPr>
            <w:r/>
            <w:r>
              <w:rPr>
                <w:rFonts w:ascii="Aptos" w:hAnsi="Aptos"/>
                <w:b w:val="0"/>
                <w:color w:val="1F1F1F"/>
                <w:sz w:val="17"/>
              </w:rPr>
              <w:t>Trust evaluation</w:t>
            </w:r>
          </w:p>
        </w:tc>
        <w:tc>
          <w:tcPr>
            <w:tcW w:type="dxa" w:w="3096"/>
            <w:vAlign w:val="center"/>
            <w:tcMar>
              <w:top w:w="90" w:type="dxa"/>
              <w:start w:w="110" w:type="dxa"/>
              <w:bottom w:w="90" w:type="dxa"/>
              <w:end w:w="110" w:type="dxa"/>
            </w:tcMar>
          </w:tcPr>
          <w:p>
            <w:pPr>
              <w:spacing w:after="0"/>
            </w:pPr>
            <w:r/>
            <w:r>
              <w:rPr>
                <w:rFonts w:ascii="Aptos" w:hAnsi="Aptos"/>
                <w:b w:val="0"/>
                <w:color w:val="1F1F1F"/>
                <w:sz w:val="17"/>
              </w:rPr>
              <w:t>completed → review-ready / remediation-required</w:t>
            </w:r>
          </w:p>
        </w:tc>
        <w:tc>
          <w:tcPr>
            <w:tcW w:type="dxa" w:w="4104"/>
            <w:vAlign w:val="center"/>
            <w:tcMar>
              <w:top w:w="90" w:type="dxa"/>
              <w:start w:w="110" w:type="dxa"/>
              <w:bottom w:w="90" w:type="dxa"/>
              <w:end w:w="110" w:type="dxa"/>
            </w:tcMar>
          </w:tcPr>
          <w:p>
            <w:pPr>
              <w:spacing w:after="0"/>
            </w:pPr>
            <w:r/>
            <w:r>
              <w:rPr>
                <w:rFonts w:ascii="Aptos" w:hAnsi="Aptos"/>
                <w:b w:val="0"/>
                <w:color w:val="1F1F1F"/>
                <w:sz w:val="17"/>
              </w:rPr>
              <w:t>Return only affected artifacts to the responsible agent; record contradiction and remediation reason.</w:t>
            </w:r>
          </w:p>
        </w:tc>
      </w:tr>
      <w:tr>
        <w:tc>
          <w:tcPr>
            <w:tcW w:type="dxa" w:w="1944"/>
            <w:vAlign w:val="center"/>
            <w:tcMar>
              <w:top w:w="90" w:type="dxa"/>
              <w:start w:w="110" w:type="dxa"/>
              <w:bottom w:w="90" w:type="dxa"/>
              <w:end w:w="110" w:type="dxa"/>
            </w:tcMar>
          </w:tcPr>
          <w:p>
            <w:pPr>
              <w:spacing w:after="0"/>
            </w:pPr>
            <w:r/>
            <w:r>
              <w:rPr>
                <w:rFonts w:ascii="Aptos" w:hAnsi="Aptos"/>
                <w:b w:val="0"/>
                <w:color w:val="1F1F1F"/>
                <w:sz w:val="17"/>
              </w:rPr>
              <w:t>Human review</w:t>
            </w:r>
          </w:p>
        </w:tc>
        <w:tc>
          <w:tcPr>
            <w:tcW w:type="dxa" w:w="3096"/>
            <w:vAlign w:val="center"/>
            <w:tcMar>
              <w:top w:w="90" w:type="dxa"/>
              <w:start w:w="110" w:type="dxa"/>
              <w:bottom w:w="90" w:type="dxa"/>
              <w:end w:w="110" w:type="dxa"/>
            </w:tcMar>
          </w:tcPr>
          <w:p>
            <w:pPr>
              <w:spacing w:after="0"/>
            </w:pPr>
            <w:r/>
            <w:r>
              <w:rPr>
                <w:rFonts w:ascii="Aptos" w:hAnsi="Aptos"/>
                <w:b w:val="0"/>
                <w:color w:val="1F1F1F"/>
                <w:sz w:val="17"/>
              </w:rPr>
              <w:t>review-ready → approved / modified / rejected / deferred</w:t>
            </w:r>
          </w:p>
        </w:tc>
        <w:tc>
          <w:tcPr>
            <w:tcW w:type="dxa" w:w="4104"/>
            <w:vAlign w:val="center"/>
            <w:tcMar>
              <w:top w:w="90" w:type="dxa"/>
              <w:start w:w="110" w:type="dxa"/>
              <w:bottom w:w="90" w:type="dxa"/>
              <w:end w:w="110" w:type="dxa"/>
            </w:tcMar>
          </w:tcPr>
          <w:p>
            <w:pPr>
              <w:spacing w:after="0"/>
            </w:pPr>
            <w:r/>
            <w:r>
              <w:rPr>
                <w:rFonts w:ascii="Aptos" w:hAnsi="Aptos"/>
                <w:b w:val="0"/>
                <w:color w:val="1F1F1F"/>
                <w:sz w:val="17"/>
              </w:rPr>
              <w:t>A decision invalidates only dependent downstream artifacts. Approved unrelated artifacts remain reusable.</w:t>
            </w:r>
          </w:p>
        </w:tc>
      </w:tr>
      <w:tr>
        <w:tc>
          <w:tcPr>
            <w:tcW w:type="dxa" w:w="1944"/>
            <w:vAlign w:val="center"/>
            <w:tcMar>
              <w:top w:w="90" w:type="dxa"/>
              <w:start w:w="110" w:type="dxa"/>
              <w:bottom w:w="90" w:type="dxa"/>
              <w:end w:w="110" w:type="dxa"/>
            </w:tcMar>
          </w:tcPr>
          <w:p>
            <w:pPr>
              <w:spacing w:after="0"/>
            </w:pPr>
            <w:r/>
            <w:r>
              <w:rPr>
                <w:rFonts w:ascii="Aptos" w:hAnsi="Aptos"/>
                <w:b w:val="0"/>
                <w:color w:val="1F1F1F"/>
                <w:sz w:val="17"/>
              </w:rPr>
              <w:t>Reuse</w:t>
            </w:r>
          </w:p>
        </w:tc>
        <w:tc>
          <w:tcPr>
            <w:tcW w:type="dxa" w:w="3096"/>
            <w:vAlign w:val="center"/>
            <w:tcMar>
              <w:top w:w="90" w:type="dxa"/>
              <w:start w:w="110" w:type="dxa"/>
              <w:bottom w:w="90" w:type="dxa"/>
              <w:end w:w="110" w:type="dxa"/>
            </w:tcMar>
          </w:tcPr>
          <w:p>
            <w:pPr>
              <w:spacing w:after="0"/>
            </w:pPr>
            <w:r/>
            <w:r>
              <w:rPr>
                <w:rFonts w:ascii="Aptos" w:hAnsi="Aptos"/>
                <w:b w:val="0"/>
                <w:color w:val="1F1F1F"/>
                <w:sz w:val="17"/>
              </w:rPr>
              <w:t>approved → governed context</w:t>
            </w:r>
          </w:p>
        </w:tc>
        <w:tc>
          <w:tcPr>
            <w:tcW w:type="dxa" w:w="4104"/>
            <w:vAlign w:val="center"/>
            <w:tcMar>
              <w:top w:w="90" w:type="dxa"/>
              <w:start w:w="110" w:type="dxa"/>
              <w:bottom w:w="90" w:type="dxa"/>
              <w:end w:w="110" w:type="dxa"/>
            </w:tcMar>
          </w:tcPr>
          <w:p>
            <w:pPr>
              <w:spacing w:after="0"/>
            </w:pPr>
            <w:r/>
            <w:r>
              <w:rPr>
                <w:rFonts w:ascii="Aptos" w:hAnsi="Aptos"/>
                <w:b w:val="0"/>
                <w:color w:val="1F1F1F"/>
                <w:sz w:val="17"/>
              </w:rPr>
              <w:t>Publish approved version to the repository with scope filters; never overwrite prior decisions.</w:t>
            </w:r>
          </w:p>
        </w:tc>
      </w:tr>
    </w:tbl>
    <w:p>
      <w:pPr>
        <w:spacing w:after="20"/>
      </w:pPr>
    </w:p>
    <w:tbl>
      <w:tblPr>
        <w:tblW w:type="auto" w:w="0"/>
        <w:jc w:val="left"/>
        <w:tblLayout w:type="fixed"/>
        <w:tblLook w:firstColumn="1" w:firstRow="1" w:lastColumn="0" w:lastRow="0" w:noHBand="0" w:noVBand="1" w:val="04A0"/>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Grid>
        <w:gridCol w:w="9936"/>
      </w:tblGrid>
      <w:tr>
        <w:tc>
          <w:tcPr>
            <w:tcW w:type="dxa" w:w="9144"/>
            <w:shd w:fill="D9EAF7"/>
            <w:tcMar>
              <w:top w:w="120" w:type="dxa"/>
              <w:start w:w="150" w:type="dxa"/>
              <w:bottom w:w="120" w:type="dxa"/>
              <w:end w:w="150" w:type="dxa"/>
            </w:tcMar>
          </w:tcPr>
          <w:p>
            <w:pPr>
              <w:spacing w:after="0"/>
            </w:pPr>
            <w:r/>
            <w:r>
              <w:rPr>
                <w:b/>
                <w:color w:val="17365D"/>
              </w:rPr>
              <w:t xml:space="preserve">Idempotency: </w:t>
            </w:r>
            <w:r>
              <w:t>A repeated request with the same pilot scope, evidence snapshot, knowledge versions, and task contract returns or references the same run artifact rather than creating an uncontrolled duplicate.</w:t>
            </w:r>
          </w:p>
        </w:tc>
      </w:tr>
    </w:tbl>
    <w:p>
      <w:pPr>
        <w:spacing w:after="20"/>
      </w:pPr>
    </w:p>
    <w:p>
      <w:pPr>
        <w:pStyle w:val="Heading1"/>
        <w:keepNext/>
      </w:pPr>
      <w:r>
        <w:t>7. Confidence and review-routing policy</w:t>
      </w:r>
    </w:p>
    <w:p>
      <w:pPr>
        <w:pStyle w:val="BodyText"/>
      </w:pPr>
      <w:r>
        <w:t>Confidence is an evidence score, not an LLM self-rating. The pilot must record both the aggregate score and the component explanations used to calculate it.</w:t>
      </w:r>
    </w:p>
    <w:tbl>
      <w:tblPr>
        <w:tblW w:type="auto" w:w="0"/>
        <w:jc w:val="left"/>
        <w:tblLayout w:type="fixed"/>
        <w:tblLook w:firstColumn="1" w:firstRow="1" w:lastColumn="0" w:lastRow="0" w:noHBand="0" w:noVBand="1" w:val="04A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3312"/>
        <w:gridCol w:w="3312"/>
        <w:gridCol w:w="3312"/>
      </w:tblGrid>
      <w:tr>
        <w:trPr>
          <w:tblHeader w:val="true"/>
        </w:trPr>
        <w:tc>
          <w:tcPr>
            <w:tcW w:type="dxa" w:w="2232"/>
            <w:shd w:fill="17365D"/>
            <w:vAlign w:val="center"/>
            <w:tcMar>
              <w:top w:w="90" w:type="dxa"/>
              <w:start w:w="110" w:type="dxa"/>
              <w:bottom w:w="90" w:type="dxa"/>
              <w:end w:w="110" w:type="dxa"/>
            </w:tcMar>
          </w:tcPr>
          <w:p>
            <w:pPr>
              <w:spacing w:after="0"/>
            </w:pPr>
            <w:r/>
            <w:r>
              <w:rPr>
                <w:rFonts w:ascii="Aptos" w:hAnsi="Aptos"/>
                <w:b/>
                <w:color w:val="FFFFFF"/>
                <w:sz w:val="17"/>
              </w:rPr>
              <w:t>Score component</w:t>
            </w:r>
          </w:p>
        </w:tc>
        <w:tc>
          <w:tcPr>
            <w:tcW w:type="dxa" w:w="4680"/>
            <w:shd w:fill="17365D"/>
            <w:vAlign w:val="center"/>
            <w:tcMar>
              <w:top w:w="90" w:type="dxa"/>
              <w:start w:w="110" w:type="dxa"/>
              <w:bottom w:w="90" w:type="dxa"/>
              <w:end w:w="110" w:type="dxa"/>
            </w:tcMar>
          </w:tcPr>
          <w:p>
            <w:pPr>
              <w:spacing w:after="0"/>
            </w:pPr>
            <w:r/>
            <w:r>
              <w:rPr>
                <w:rFonts w:ascii="Aptos" w:hAnsi="Aptos"/>
                <w:b/>
                <w:color w:val="FFFFFF"/>
                <w:sz w:val="17"/>
              </w:rPr>
              <w:t>Example evidence</w:t>
            </w:r>
          </w:p>
        </w:tc>
        <w:tc>
          <w:tcPr>
            <w:tcW w:type="dxa" w:w="2232"/>
            <w:shd w:fill="17365D"/>
            <w:vAlign w:val="center"/>
            <w:tcMar>
              <w:top w:w="90" w:type="dxa"/>
              <w:start w:w="110" w:type="dxa"/>
              <w:bottom w:w="90" w:type="dxa"/>
              <w:end w:w="110" w:type="dxa"/>
            </w:tcMar>
          </w:tcPr>
          <w:p>
            <w:pPr>
              <w:spacing w:after="0"/>
            </w:pPr>
            <w:r/>
            <w:r>
              <w:rPr>
                <w:rFonts w:ascii="Aptos" w:hAnsi="Aptos"/>
                <w:b/>
                <w:color w:val="FFFFFF"/>
                <w:sz w:val="17"/>
              </w:rPr>
              <w:t>Routing effect</w:t>
            </w:r>
          </w:p>
        </w:tc>
      </w:tr>
      <w:tr>
        <w:tc>
          <w:tcPr>
            <w:tcW w:type="dxa" w:w="2232"/>
            <w:vAlign w:val="center"/>
            <w:tcMar>
              <w:top w:w="90" w:type="dxa"/>
              <w:start w:w="110" w:type="dxa"/>
              <w:bottom w:w="90" w:type="dxa"/>
              <w:end w:w="110" w:type="dxa"/>
            </w:tcMar>
          </w:tcPr>
          <w:p>
            <w:pPr>
              <w:spacing w:after="0"/>
            </w:pPr>
            <w:r/>
            <w:r>
              <w:rPr>
                <w:rFonts w:ascii="Aptos" w:hAnsi="Aptos"/>
                <w:b w:val="0"/>
                <w:color w:val="1F1F1F"/>
                <w:sz w:val="17"/>
              </w:rPr>
              <w:t>Retrieval fitness</w:t>
            </w:r>
          </w:p>
        </w:tc>
        <w:tc>
          <w:tcPr>
            <w:tcW w:type="dxa" w:w="4680"/>
            <w:vAlign w:val="center"/>
            <w:tcMar>
              <w:top w:w="90" w:type="dxa"/>
              <w:start w:w="110" w:type="dxa"/>
              <w:bottom w:w="90" w:type="dxa"/>
              <w:end w:w="110" w:type="dxa"/>
            </w:tcMar>
          </w:tcPr>
          <w:p>
            <w:pPr>
              <w:spacing w:after="0"/>
            </w:pPr>
            <w:r/>
            <w:r>
              <w:rPr>
                <w:rFonts w:ascii="Aptos" w:hAnsi="Aptos"/>
                <w:b w:val="0"/>
                <w:color w:val="1F1F1F"/>
                <w:sz w:val="17"/>
              </w:rPr>
              <w:t>Authoritative source/version match; relevance of retrieved ontology and COTS references.</w:t>
            </w:r>
          </w:p>
        </w:tc>
        <w:tc>
          <w:tcPr>
            <w:tcW w:type="dxa" w:w="2232"/>
            <w:vAlign w:val="center"/>
            <w:tcMar>
              <w:top w:w="90" w:type="dxa"/>
              <w:start w:w="110" w:type="dxa"/>
              <w:bottom w:w="90" w:type="dxa"/>
              <w:end w:w="110" w:type="dxa"/>
            </w:tcMar>
          </w:tcPr>
          <w:p>
            <w:pPr>
              <w:spacing w:after="0"/>
            </w:pPr>
            <w:r/>
            <w:r>
              <w:rPr>
                <w:rFonts w:ascii="Aptos" w:hAnsi="Aptos"/>
                <w:b w:val="0"/>
                <w:color w:val="1F1F1F"/>
                <w:sz w:val="17"/>
              </w:rPr>
              <w:t>Low fit blocks semantic progression.</w:t>
            </w:r>
          </w:p>
        </w:tc>
      </w:tr>
      <w:tr>
        <w:tc>
          <w:tcPr>
            <w:tcW w:type="dxa" w:w="2232"/>
            <w:vAlign w:val="center"/>
            <w:tcMar>
              <w:top w:w="90" w:type="dxa"/>
              <w:start w:w="110" w:type="dxa"/>
              <w:bottom w:w="90" w:type="dxa"/>
              <w:end w:w="110" w:type="dxa"/>
            </w:tcMar>
          </w:tcPr>
          <w:p>
            <w:pPr>
              <w:spacing w:after="0"/>
            </w:pPr>
            <w:r/>
            <w:r>
              <w:rPr>
                <w:rFonts w:ascii="Aptos" w:hAnsi="Aptos"/>
                <w:b w:val="0"/>
                <w:color w:val="1F1F1F"/>
                <w:sz w:val="17"/>
              </w:rPr>
              <w:t>Metadata-pattern strength</w:t>
            </w:r>
          </w:p>
        </w:tc>
        <w:tc>
          <w:tcPr>
            <w:tcW w:type="dxa" w:w="4680"/>
            <w:vAlign w:val="center"/>
            <w:tcMar>
              <w:top w:w="90" w:type="dxa"/>
              <w:start w:w="110" w:type="dxa"/>
              <w:bottom w:w="90" w:type="dxa"/>
              <w:end w:w="110" w:type="dxa"/>
            </w:tcMar>
          </w:tcPr>
          <w:p>
            <w:pPr>
              <w:spacing w:after="0"/>
            </w:pPr>
            <w:r/>
            <w:r>
              <w:rPr>
                <w:rFonts w:ascii="Aptos" w:hAnsi="Aptos"/>
                <w:b w:val="0"/>
                <w:color w:val="1F1F1F"/>
                <w:sz w:val="17"/>
              </w:rPr>
              <w:t>Data type, key role, naming pattern, relationship and profile consistency.</w:t>
            </w:r>
          </w:p>
        </w:tc>
        <w:tc>
          <w:tcPr>
            <w:tcW w:type="dxa" w:w="2232"/>
            <w:vAlign w:val="center"/>
            <w:tcMar>
              <w:top w:w="90" w:type="dxa"/>
              <w:start w:w="110" w:type="dxa"/>
              <w:bottom w:w="90" w:type="dxa"/>
              <w:end w:w="110" w:type="dxa"/>
            </w:tcMar>
          </w:tcPr>
          <w:p>
            <w:pPr>
              <w:spacing w:after="0"/>
            </w:pPr>
            <w:r/>
            <w:r>
              <w:rPr>
                <w:rFonts w:ascii="Aptos" w:hAnsi="Aptos"/>
                <w:b w:val="0"/>
                <w:color w:val="1F1F1F"/>
                <w:sz w:val="17"/>
              </w:rPr>
              <w:t>Weak pattern requires additional evidence or review.</w:t>
            </w:r>
          </w:p>
        </w:tc>
      </w:tr>
      <w:tr>
        <w:tc>
          <w:tcPr>
            <w:tcW w:type="dxa" w:w="2232"/>
            <w:vAlign w:val="center"/>
            <w:tcMar>
              <w:top w:w="90" w:type="dxa"/>
              <w:start w:w="110" w:type="dxa"/>
              <w:bottom w:w="90" w:type="dxa"/>
              <w:end w:w="110" w:type="dxa"/>
            </w:tcMar>
          </w:tcPr>
          <w:p>
            <w:pPr>
              <w:spacing w:after="0"/>
            </w:pPr>
            <w:r/>
            <w:r>
              <w:rPr>
                <w:rFonts w:ascii="Aptos" w:hAnsi="Aptos"/>
                <w:b w:val="0"/>
                <w:color w:val="1F1F1F"/>
                <w:sz w:val="17"/>
              </w:rPr>
              <w:t>COTS-model match</w:t>
            </w:r>
          </w:p>
        </w:tc>
        <w:tc>
          <w:tcPr>
            <w:tcW w:type="dxa" w:w="4680"/>
            <w:vAlign w:val="center"/>
            <w:tcMar>
              <w:top w:w="90" w:type="dxa"/>
              <w:start w:w="110" w:type="dxa"/>
              <w:bottom w:w="90" w:type="dxa"/>
              <w:end w:w="110" w:type="dxa"/>
            </w:tcMar>
          </w:tcPr>
          <w:p>
            <w:pPr>
              <w:spacing w:after="0"/>
            </w:pPr>
            <w:r/>
            <w:r>
              <w:rPr>
                <w:rFonts w:ascii="Aptos" w:hAnsi="Aptos"/>
                <w:b w:val="0"/>
                <w:color w:val="1F1F1F"/>
                <w:sz w:val="17"/>
              </w:rPr>
              <w:t>Structure aligns to an authorized product/module/version reference model.</w:t>
            </w:r>
          </w:p>
        </w:tc>
        <w:tc>
          <w:tcPr>
            <w:tcW w:type="dxa" w:w="2232"/>
            <w:vAlign w:val="center"/>
            <w:tcMar>
              <w:top w:w="90" w:type="dxa"/>
              <w:start w:w="110" w:type="dxa"/>
              <w:bottom w:w="90" w:type="dxa"/>
              <w:end w:w="110" w:type="dxa"/>
            </w:tcMar>
          </w:tcPr>
          <w:p>
            <w:pPr>
              <w:spacing w:after="0"/>
            </w:pPr>
            <w:r/>
            <w:r>
              <w:rPr>
                <w:rFonts w:ascii="Aptos" w:hAnsi="Aptos"/>
                <w:b w:val="0"/>
                <w:color w:val="1F1F1F"/>
                <w:sz w:val="17"/>
              </w:rPr>
              <w:t>Mismatch prompts customization or unresolved classification.</w:t>
            </w:r>
          </w:p>
        </w:tc>
      </w:tr>
      <w:tr>
        <w:tc>
          <w:tcPr>
            <w:tcW w:type="dxa" w:w="2232"/>
            <w:vAlign w:val="center"/>
            <w:tcMar>
              <w:top w:w="90" w:type="dxa"/>
              <w:start w:w="110" w:type="dxa"/>
              <w:bottom w:w="90" w:type="dxa"/>
              <w:end w:w="110" w:type="dxa"/>
            </w:tcMar>
          </w:tcPr>
          <w:p>
            <w:pPr>
              <w:spacing w:after="0"/>
            </w:pPr>
            <w:r/>
            <w:r>
              <w:rPr>
                <w:rFonts w:ascii="Aptos" w:hAnsi="Aptos"/>
                <w:b w:val="0"/>
                <w:color w:val="1F1F1F"/>
                <w:sz w:val="17"/>
              </w:rPr>
              <w:t>Rule consistency</w:t>
            </w:r>
          </w:p>
        </w:tc>
        <w:tc>
          <w:tcPr>
            <w:tcW w:type="dxa" w:w="4680"/>
            <w:vAlign w:val="center"/>
            <w:tcMar>
              <w:top w:w="90" w:type="dxa"/>
              <w:start w:w="110" w:type="dxa"/>
              <w:bottom w:w="90" w:type="dxa"/>
              <w:end w:w="110" w:type="dxa"/>
            </w:tcMar>
          </w:tcPr>
          <w:p>
            <w:pPr>
              <w:spacing w:after="0"/>
            </w:pPr>
            <w:r/>
            <w:r>
              <w:rPr>
                <w:rFonts w:ascii="Aptos" w:hAnsi="Aptos"/>
                <w:b w:val="0"/>
                <w:color w:val="1F1F1F"/>
                <w:sz w:val="17"/>
              </w:rPr>
              <w:t>Proposal does not contradict enterprise standards, approved rules, or prior decisions.</w:t>
            </w:r>
          </w:p>
        </w:tc>
        <w:tc>
          <w:tcPr>
            <w:tcW w:type="dxa" w:w="2232"/>
            <w:vAlign w:val="center"/>
            <w:tcMar>
              <w:top w:w="90" w:type="dxa"/>
              <w:start w:w="110" w:type="dxa"/>
              <w:bottom w:w="90" w:type="dxa"/>
              <w:end w:w="110" w:type="dxa"/>
            </w:tcMar>
          </w:tcPr>
          <w:p>
            <w:pPr>
              <w:spacing w:after="0"/>
            </w:pPr>
            <w:r/>
            <w:r>
              <w:rPr>
                <w:rFonts w:ascii="Aptos" w:hAnsi="Aptos"/>
                <w:b w:val="0"/>
                <w:color w:val="1F1F1F"/>
                <w:sz w:val="17"/>
              </w:rPr>
              <w:t>Conflict requires trust-agent remediation.</w:t>
            </w:r>
          </w:p>
        </w:tc>
      </w:tr>
      <w:tr>
        <w:tc>
          <w:tcPr>
            <w:tcW w:type="dxa" w:w="2232"/>
            <w:vAlign w:val="center"/>
            <w:tcMar>
              <w:top w:w="90" w:type="dxa"/>
              <w:start w:w="110" w:type="dxa"/>
              <w:bottom w:w="90" w:type="dxa"/>
              <w:end w:w="110" w:type="dxa"/>
            </w:tcMar>
          </w:tcPr>
          <w:p>
            <w:pPr>
              <w:spacing w:after="0"/>
            </w:pPr>
            <w:r/>
            <w:r>
              <w:rPr>
                <w:rFonts w:ascii="Aptos" w:hAnsi="Aptos"/>
                <w:b w:val="0"/>
                <w:color w:val="1F1F1F"/>
                <w:sz w:val="17"/>
              </w:rPr>
              <w:t>Reviewer calibration</w:t>
            </w:r>
          </w:p>
        </w:tc>
        <w:tc>
          <w:tcPr>
            <w:tcW w:type="dxa" w:w="4680"/>
            <w:vAlign w:val="center"/>
            <w:tcMar>
              <w:top w:w="90" w:type="dxa"/>
              <w:start w:w="110" w:type="dxa"/>
              <w:bottom w:w="90" w:type="dxa"/>
              <w:end w:w="110" w:type="dxa"/>
            </w:tcMar>
          </w:tcPr>
          <w:p>
            <w:pPr>
              <w:spacing w:after="0"/>
            </w:pPr>
            <w:r/>
            <w:r>
              <w:rPr>
                <w:rFonts w:ascii="Aptos" w:hAnsi="Aptos"/>
                <w:b w:val="0"/>
                <w:color w:val="1F1F1F"/>
                <w:sz w:val="17"/>
              </w:rPr>
              <w:t>Comparison with labelled reviewer outcomes and observed override/rejection rates.</w:t>
            </w:r>
          </w:p>
        </w:tc>
        <w:tc>
          <w:tcPr>
            <w:tcW w:type="dxa" w:w="2232"/>
            <w:vAlign w:val="center"/>
            <w:tcMar>
              <w:top w:w="90" w:type="dxa"/>
              <w:start w:w="110" w:type="dxa"/>
              <w:bottom w:w="90" w:type="dxa"/>
              <w:end w:w="110" w:type="dxa"/>
            </w:tcMar>
          </w:tcPr>
          <w:p>
            <w:pPr>
              <w:spacing w:after="0"/>
            </w:pPr>
            <w:r/>
            <w:r>
              <w:rPr>
                <w:rFonts w:ascii="Aptos" w:hAnsi="Aptos"/>
                <w:b w:val="0"/>
                <w:color w:val="1F1F1F"/>
                <w:sz w:val="17"/>
              </w:rPr>
              <w:t>Drift triggers threshold review and recalibration.</w:t>
            </w:r>
          </w:p>
        </w:tc>
      </w:tr>
    </w:tbl>
    <w:p>
      <w:pPr>
        <w:spacing w:after="20"/>
      </w:pPr>
    </w:p>
    <w:p>
      <w:pPr>
        <w:pStyle w:val="ListBullet"/>
      </w:pPr>
      <w:r>
        <w:t>Mandatory human review: business-critical identifiers, financial measures, privacy classifications, candidate ontology extensions, and any contradictory or low-confidence result.</w:t>
      </w:r>
    </w:p>
    <w:p>
      <w:pPr>
        <w:pStyle w:val="ListBullet"/>
      </w:pPr>
      <w:r>
        <w:t>Automatic progression is permitted only between analysis tasks. It never authorizes implementation, deployment, or publication as an approved enterprise model.</w:t>
      </w:r>
    </w:p>
    <w:p>
      <w:pPr>
        <w:pStyle w:val="Heading1"/>
        <w:keepNext/>
      </w:pPr>
      <w:r>
        <w:t>8. Sensitive-data and tenancy controls</w:t>
      </w:r>
    </w:p>
    <w:tbl>
      <w:tblPr>
        <w:tblW w:type="auto" w:w="0"/>
        <w:jc w:val="left"/>
        <w:tblLayout w:type="fixed"/>
        <w:tblLook w:firstColumn="1" w:firstRow="1" w:lastColumn="0" w:lastRow="0" w:noHBand="0" w:noVBand="1" w:val="04A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4968"/>
        <w:gridCol w:w="4968"/>
      </w:tblGrid>
      <w:tr>
        <w:trPr>
          <w:tblHeader w:val="true"/>
        </w:trPr>
        <w:tc>
          <w:tcPr>
            <w:tcW w:type="dxa" w:w="2232"/>
            <w:shd w:fill="17365D"/>
            <w:vAlign w:val="center"/>
            <w:tcMar>
              <w:top w:w="90" w:type="dxa"/>
              <w:start w:w="110" w:type="dxa"/>
              <w:bottom w:w="90" w:type="dxa"/>
              <w:end w:w="110" w:type="dxa"/>
            </w:tcMar>
          </w:tcPr>
          <w:p>
            <w:pPr>
              <w:spacing w:after="0"/>
            </w:pPr>
            <w:r/>
            <w:r>
              <w:rPr>
                <w:rFonts w:ascii="Aptos" w:hAnsi="Aptos"/>
                <w:b/>
                <w:color w:val="FFFFFF"/>
                <w:sz w:val="17"/>
              </w:rPr>
              <w:t>Control</w:t>
            </w:r>
          </w:p>
        </w:tc>
        <w:tc>
          <w:tcPr>
            <w:tcW w:type="dxa" w:w="6912"/>
            <w:shd w:fill="17365D"/>
            <w:vAlign w:val="center"/>
            <w:tcMar>
              <w:top w:w="90" w:type="dxa"/>
              <w:start w:w="110" w:type="dxa"/>
              <w:bottom w:w="90" w:type="dxa"/>
              <w:end w:w="110" w:type="dxa"/>
            </w:tcMar>
          </w:tcPr>
          <w:p>
            <w:pPr>
              <w:spacing w:after="0"/>
            </w:pPr>
            <w:r/>
            <w:r>
              <w:rPr>
                <w:rFonts w:ascii="Aptos" w:hAnsi="Aptos"/>
                <w:b/>
                <w:color w:val="FFFFFF"/>
                <w:sz w:val="17"/>
              </w:rPr>
              <w:t>Pilot requirement</w:t>
            </w:r>
          </w:p>
        </w:tc>
      </w:tr>
      <w:tr>
        <w:tc>
          <w:tcPr>
            <w:tcW w:type="dxa" w:w="2232"/>
            <w:vAlign w:val="center"/>
            <w:tcMar>
              <w:top w:w="90" w:type="dxa"/>
              <w:start w:w="110" w:type="dxa"/>
              <w:bottom w:w="90" w:type="dxa"/>
              <w:end w:w="110" w:type="dxa"/>
            </w:tcMar>
          </w:tcPr>
          <w:p>
            <w:pPr>
              <w:spacing w:after="0"/>
            </w:pPr>
            <w:r/>
            <w:r>
              <w:rPr>
                <w:rFonts w:ascii="Aptos" w:hAnsi="Aptos"/>
                <w:b w:val="0"/>
                <w:color w:val="1F1F1F"/>
                <w:sz w:val="17"/>
              </w:rPr>
              <w:t>Evidence minimization</w:t>
            </w:r>
          </w:p>
        </w:tc>
        <w:tc>
          <w:tcPr>
            <w:tcW w:type="dxa" w:w="6912"/>
            <w:vAlign w:val="center"/>
            <w:tcMar>
              <w:top w:w="90" w:type="dxa"/>
              <w:start w:w="110" w:type="dxa"/>
              <w:bottom w:w="90" w:type="dxa"/>
              <w:end w:w="110" w:type="dxa"/>
            </w:tcMar>
          </w:tcPr>
          <w:p>
            <w:pPr>
              <w:spacing w:after="0"/>
            </w:pPr>
            <w:r/>
            <w:r>
              <w:rPr>
                <w:rFonts w:ascii="Aptos" w:hAnsi="Aptos"/>
                <w:b w:val="0"/>
                <w:color w:val="1F1F1F"/>
                <w:sz w:val="17"/>
              </w:rPr>
              <w:t>Use metadata and approved aggregate profiles first. Use value-level evidence only where the evidence class is explicitly approved.</w:t>
            </w:r>
          </w:p>
        </w:tc>
      </w:tr>
      <w:tr>
        <w:tc>
          <w:tcPr>
            <w:tcW w:type="dxa" w:w="2232"/>
            <w:vAlign w:val="center"/>
            <w:tcMar>
              <w:top w:w="90" w:type="dxa"/>
              <w:start w:w="110" w:type="dxa"/>
              <w:bottom w:w="90" w:type="dxa"/>
              <w:end w:w="110" w:type="dxa"/>
            </w:tcMar>
          </w:tcPr>
          <w:p>
            <w:pPr>
              <w:spacing w:after="0"/>
            </w:pPr>
            <w:r/>
            <w:r>
              <w:rPr>
                <w:rFonts w:ascii="Aptos" w:hAnsi="Aptos"/>
                <w:b w:val="0"/>
                <w:color w:val="1F1F1F"/>
                <w:sz w:val="17"/>
              </w:rPr>
              <w:t>Retrieval safety</w:t>
            </w:r>
          </w:p>
        </w:tc>
        <w:tc>
          <w:tcPr>
            <w:tcW w:type="dxa" w:w="6912"/>
            <w:vAlign w:val="center"/>
            <w:tcMar>
              <w:top w:w="90" w:type="dxa"/>
              <w:start w:w="110" w:type="dxa"/>
              <w:bottom w:w="90" w:type="dxa"/>
              <w:end w:w="110" w:type="dxa"/>
            </w:tcMar>
          </w:tcPr>
          <w:p>
            <w:pPr>
              <w:spacing w:after="0"/>
            </w:pPr>
            <w:r/>
            <w:r>
              <w:rPr>
                <w:rFonts w:ascii="Aptos" w:hAnsi="Aptos"/>
                <w:b w:val="0"/>
                <w:color w:val="1F1F1F"/>
                <w:sz w:val="17"/>
              </w:rPr>
              <w:t>Do not embed raw, masked, medical, legal, or narrative PII by default. Vector indexes contain approved documentation and sanitized metadata only.</w:t>
            </w:r>
          </w:p>
        </w:tc>
      </w:tr>
      <w:tr>
        <w:tc>
          <w:tcPr>
            <w:tcW w:type="dxa" w:w="2232"/>
            <w:vAlign w:val="center"/>
            <w:tcMar>
              <w:top w:w="90" w:type="dxa"/>
              <w:start w:w="110" w:type="dxa"/>
              <w:bottom w:w="90" w:type="dxa"/>
              <w:end w:w="110" w:type="dxa"/>
            </w:tcMar>
          </w:tcPr>
          <w:p>
            <w:pPr>
              <w:spacing w:after="0"/>
            </w:pPr>
            <w:r/>
            <w:r>
              <w:rPr>
                <w:rFonts w:ascii="Aptos" w:hAnsi="Aptos"/>
                <w:b w:val="0"/>
                <w:color w:val="1F1F1F"/>
                <w:sz w:val="17"/>
              </w:rPr>
              <w:t>Engagement isolation</w:t>
            </w:r>
          </w:p>
        </w:tc>
        <w:tc>
          <w:tcPr>
            <w:tcW w:type="dxa" w:w="6912"/>
            <w:vAlign w:val="center"/>
            <w:tcMar>
              <w:top w:w="90" w:type="dxa"/>
              <w:start w:w="110" w:type="dxa"/>
              <w:bottom w:w="90" w:type="dxa"/>
              <w:end w:w="110" w:type="dxa"/>
            </w:tcMar>
          </w:tcPr>
          <w:p>
            <w:pPr>
              <w:spacing w:after="0"/>
            </w:pPr>
            <w:r/>
            <w:r>
              <w:rPr>
                <w:rFonts w:ascii="Aptos" w:hAnsi="Aptos"/>
                <w:b w:val="0"/>
                <w:color w:val="1F1F1F"/>
                <w:sz w:val="17"/>
              </w:rPr>
              <w:t>Use separate Unity Catalog permissions, scoped service identities, recommendation schemas, retrieval collections, and audit records per engagement.</w:t>
            </w:r>
          </w:p>
        </w:tc>
      </w:tr>
      <w:tr>
        <w:tc>
          <w:tcPr>
            <w:tcW w:type="dxa" w:w="2232"/>
            <w:vAlign w:val="center"/>
            <w:tcMar>
              <w:top w:w="90" w:type="dxa"/>
              <w:start w:w="110" w:type="dxa"/>
              <w:bottom w:w="90" w:type="dxa"/>
              <w:end w:w="110" w:type="dxa"/>
            </w:tcMar>
          </w:tcPr>
          <w:p>
            <w:pPr>
              <w:spacing w:after="0"/>
            </w:pPr>
            <w:r/>
            <w:r>
              <w:rPr>
                <w:rFonts w:ascii="Aptos" w:hAnsi="Aptos"/>
                <w:b w:val="0"/>
                <w:color w:val="1F1F1F"/>
                <w:sz w:val="17"/>
              </w:rPr>
              <w:t>Retention</w:t>
            </w:r>
          </w:p>
        </w:tc>
        <w:tc>
          <w:tcPr>
            <w:tcW w:type="dxa" w:w="6912"/>
            <w:vAlign w:val="center"/>
            <w:tcMar>
              <w:top w:w="90" w:type="dxa"/>
              <w:start w:w="110" w:type="dxa"/>
              <w:bottom w:w="90" w:type="dxa"/>
              <w:end w:w="110" w:type="dxa"/>
            </w:tcMar>
          </w:tcPr>
          <w:p>
            <w:pPr>
              <w:spacing w:after="0"/>
            </w:pPr>
            <w:r/>
            <w:r>
              <w:rPr>
                <w:rFonts w:ascii="Aptos" w:hAnsi="Aptos"/>
                <w:b w:val="0"/>
                <w:color w:val="1F1F1F"/>
                <w:sz w:val="17"/>
              </w:rPr>
              <w:t>Record evidence-retention period and purge/archival procedure before collecting any value-level evidence.</w:t>
            </w:r>
          </w:p>
        </w:tc>
      </w:tr>
      <w:tr>
        <w:tc>
          <w:tcPr>
            <w:tcW w:type="dxa" w:w="2232"/>
            <w:vAlign w:val="center"/>
            <w:tcMar>
              <w:top w:w="90" w:type="dxa"/>
              <w:start w:w="110" w:type="dxa"/>
              <w:bottom w:w="90" w:type="dxa"/>
              <w:end w:w="110" w:type="dxa"/>
            </w:tcMar>
          </w:tcPr>
          <w:p>
            <w:pPr>
              <w:spacing w:after="0"/>
            </w:pPr>
            <w:r/>
            <w:r>
              <w:rPr>
                <w:rFonts w:ascii="Aptos" w:hAnsi="Aptos"/>
                <w:b w:val="0"/>
                <w:color w:val="1F1F1F"/>
                <w:sz w:val="17"/>
              </w:rPr>
              <w:t>Audit</w:t>
            </w:r>
          </w:p>
        </w:tc>
        <w:tc>
          <w:tcPr>
            <w:tcW w:type="dxa" w:w="6912"/>
            <w:vAlign w:val="center"/>
            <w:tcMar>
              <w:top w:w="90" w:type="dxa"/>
              <w:start w:w="110" w:type="dxa"/>
              <w:bottom w:w="90" w:type="dxa"/>
              <w:end w:w="110" w:type="dxa"/>
            </w:tcMar>
          </w:tcPr>
          <w:p>
            <w:pPr>
              <w:spacing w:after="0"/>
            </w:pPr>
            <w:r/>
            <w:r>
              <w:rPr>
                <w:rFonts w:ascii="Aptos" w:hAnsi="Aptos"/>
                <w:b w:val="0"/>
                <w:color w:val="1F1F1F"/>
                <w:sz w:val="17"/>
              </w:rPr>
              <w:t>Retain run ID, data-access references, knowledge versions, reviewer decisions, and tool invocations for every material recommendation.</w:t>
            </w:r>
          </w:p>
        </w:tc>
      </w:tr>
    </w:tbl>
    <w:p>
      <w:pPr>
        <w:spacing w:after="20"/>
      </w:pPr>
    </w:p>
    <w:p>
      <w:pPr>
        <w:pStyle w:val="Heading1"/>
        <w:keepNext/>
      </w:pPr>
      <w:r>
        <w:t>9. Pilot delivery plan</w:t>
      </w:r>
    </w:p>
    <w:tbl>
      <w:tblPr>
        <w:tblW w:type="auto" w:w="0"/>
        <w:jc w:val="left"/>
        <w:tblLayout w:type="fixed"/>
        <w:tblLook w:firstColumn="1" w:firstRow="1" w:lastColumn="0" w:lastRow="0" w:noHBand="0" w:noVBand="1" w:val="04A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3312"/>
        <w:gridCol w:w="3312"/>
        <w:gridCol w:w="3312"/>
      </w:tblGrid>
      <w:tr>
        <w:trPr>
          <w:tblHeader w:val="true"/>
        </w:trPr>
        <w:tc>
          <w:tcPr>
            <w:tcW w:type="dxa" w:w="2304"/>
            <w:shd w:fill="17365D"/>
            <w:vAlign w:val="center"/>
            <w:tcMar>
              <w:top w:w="90" w:type="dxa"/>
              <w:start w:w="110" w:type="dxa"/>
              <w:bottom w:w="90" w:type="dxa"/>
              <w:end w:w="110" w:type="dxa"/>
            </w:tcMar>
          </w:tcPr>
          <w:p>
            <w:pPr>
              <w:spacing w:after="0"/>
            </w:pPr>
            <w:r/>
            <w:r>
              <w:rPr>
                <w:rFonts w:ascii="Aptos" w:hAnsi="Aptos"/>
                <w:b/>
                <w:color w:val="FFFFFF"/>
                <w:sz w:val="17"/>
              </w:rPr>
              <w:t>Work package</w:t>
            </w:r>
          </w:p>
        </w:tc>
        <w:tc>
          <w:tcPr>
            <w:tcW w:type="dxa" w:w="4464"/>
            <w:shd w:fill="17365D"/>
            <w:vAlign w:val="center"/>
            <w:tcMar>
              <w:top w:w="90" w:type="dxa"/>
              <w:start w:w="110" w:type="dxa"/>
              <w:bottom w:w="90" w:type="dxa"/>
              <w:end w:w="110" w:type="dxa"/>
            </w:tcMar>
          </w:tcPr>
          <w:p>
            <w:pPr>
              <w:spacing w:after="0"/>
            </w:pPr>
            <w:r/>
            <w:r>
              <w:rPr>
                <w:rFonts w:ascii="Aptos" w:hAnsi="Aptos"/>
                <w:b/>
                <w:color w:val="FFFFFF"/>
                <w:sz w:val="17"/>
              </w:rPr>
              <w:t>Primary deliverables</w:t>
            </w:r>
          </w:p>
        </w:tc>
        <w:tc>
          <w:tcPr>
            <w:tcW w:type="dxa" w:w="2376"/>
            <w:shd w:fill="17365D"/>
            <w:vAlign w:val="center"/>
            <w:tcMar>
              <w:top w:w="90" w:type="dxa"/>
              <w:start w:w="110" w:type="dxa"/>
              <w:bottom w:w="90" w:type="dxa"/>
              <w:end w:w="110" w:type="dxa"/>
            </w:tcMar>
          </w:tcPr>
          <w:p>
            <w:pPr>
              <w:spacing w:after="0"/>
            </w:pPr>
            <w:r/>
            <w:r>
              <w:rPr>
                <w:rFonts w:ascii="Aptos" w:hAnsi="Aptos"/>
                <w:b/>
                <w:color w:val="FFFFFF"/>
                <w:sz w:val="17"/>
              </w:rPr>
              <w:t>Exit condition</w:t>
            </w:r>
          </w:p>
        </w:tc>
      </w:tr>
      <w:tr>
        <w:tc>
          <w:tcPr>
            <w:tcW w:type="dxa" w:w="2304"/>
            <w:vAlign w:val="center"/>
            <w:tcMar>
              <w:top w:w="90" w:type="dxa"/>
              <w:start w:w="110" w:type="dxa"/>
              <w:bottom w:w="90" w:type="dxa"/>
              <w:end w:w="110" w:type="dxa"/>
            </w:tcMar>
          </w:tcPr>
          <w:p>
            <w:pPr>
              <w:spacing w:after="0"/>
            </w:pPr>
            <w:r/>
            <w:r>
              <w:rPr>
                <w:rFonts w:ascii="Aptos" w:hAnsi="Aptos"/>
                <w:b w:val="0"/>
                <w:color w:val="1F1F1F"/>
                <w:sz w:val="17"/>
              </w:rPr>
              <w:t>1. Inception and controls</w:t>
            </w:r>
          </w:p>
        </w:tc>
        <w:tc>
          <w:tcPr>
            <w:tcW w:type="dxa" w:w="4464"/>
            <w:vAlign w:val="center"/>
            <w:tcMar>
              <w:top w:w="90" w:type="dxa"/>
              <w:start w:w="110" w:type="dxa"/>
              <w:bottom w:w="90" w:type="dxa"/>
              <w:end w:w="110" w:type="dxa"/>
            </w:tcMar>
          </w:tcPr>
          <w:p>
            <w:pPr>
              <w:spacing w:after="0"/>
            </w:pPr>
            <w:r/>
            <w:r>
              <w:rPr>
                <w:rFonts w:ascii="Aptos" w:hAnsi="Aptos"/>
                <w:b w:val="0"/>
                <w:color w:val="1F1F1F"/>
                <w:sz w:val="17"/>
              </w:rPr>
              <w:t>Signed pilot scope, evidence classification, named reviewers, success targets, tool-access policy.</w:t>
            </w:r>
          </w:p>
        </w:tc>
        <w:tc>
          <w:tcPr>
            <w:tcW w:type="dxa" w:w="2376"/>
            <w:vAlign w:val="center"/>
            <w:tcMar>
              <w:top w:w="90" w:type="dxa"/>
              <w:start w:w="110" w:type="dxa"/>
              <w:bottom w:w="90" w:type="dxa"/>
              <w:end w:w="110" w:type="dxa"/>
            </w:tcMar>
          </w:tcPr>
          <w:p>
            <w:pPr>
              <w:spacing w:after="0"/>
            </w:pPr>
            <w:r/>
            <w:r>
              <w:rPr>
                <w:rFonts w:ascii="Aptos" w:hAnsi="Aptos"/>
                <w:b w:val="0"/>
                <w:color w:val="1F1F1F"/>
                <w:sz w:val="17"/>
              </w:rPr>
              <w:t>Pilot boundary and controls approved.</w:t>
            </w:r>
          </w:p>
        </w:tc>
      </w:tr>
      <w:tr>
        <w:tc>
          <w:tcPr>
            <w:tcW w:type="dxa" w:w="2304"/>
            <w:vAlign w:val="center"/>
            <w:tcMar>
              <w:top w:w="90" w:type="dxa"/>
              <w:start w:w="110" w:type="dxa"/>
              <w:bottom w:w="90" w:type="dxa"/>
              <w:end w:w="110" w:type="dxa"/>
            </w:tcMar>
          </w:tcPr>
          <w:p>
            <w:pPr>
              <w:spacing w:after="0"/>
            </w:pPr>
            <w:r/>
            <w:r>
              <w:rPr>
                <w:rFonts w:ascii="Aptos" w:hAnsi="Aptos"/>
                <w:b w:val="0"/>
                <w:color w:val="1F1F1F"/>
                <w:sz w:val="17"/>
              </w:rPr>
              <w:t>2. Knowledge and repository foundation</w:t>
            </w:r>
          </w:p>
        </w:tc>
        <w:tc>
          <w:tcPr>
            <w:tcW w:type="dxa" w:w="4464"/>
            <w:vAlign w:val="center"/>
            <w:tcMar>
              <w:top w:w="90" w:type="dxa"/>
              <w:start w:w="110" w:type="dxa"/>
              <w:bottom w:w="90" w:type="dxa"/>
              <w:end w:w="110" w:type="dxa"/>
            </w:tcMar>
          </w:tcPr>
          <w:p>
            <w:pPr>
              <w:spacing w:after="0"/>
            </w:pPr>
            <w:r/>
            <w:r>
              <w:rPr>
                <w:rFonts w:ascii="Aptos" w:hAnsi="Aptos"/>
                <w:b w:val="0"/>
                <w:color w:val="1F1F1F"/>
                <w:sz w:val="17"/>
              </w:rPr>
              <w:t>Versioned ontology/COTS/standards packs, recommendation repository schema, review-state model.</w:t>
            </w:r>
          </w:p>
        </w:tc>
        <w:tc>
          <w:tcPr>
            <w:tcW w:type="dxa" w:w="2376"/>
            <w:vAlign w:val="center"/>
            <w:tcMar>
              <w:top w:w="90" w:type="dxa"/>
              <w:start w:w="110" w:type="dxa"/>
              <w:bottom w:w="90" w:type="dxa"/>
              <w:end w:w="110" w:type="dxa"/>
            </w:tcMar>
          </w:tcPr>
          <w:p>
            <w:pPr>
              <w:spacing w:after="0"/>
            </w:pPr>
            <w:r/>
            <w:r>
              <w:rPr>
                <w:rFonts w:ascii="Aptos" w:hAnsi="Aptos"/>
                <w:b w:val="0"/>
                <w:color w:val="1F1F1F"/>
                <w:sz w:val="17"/>
              </w:rPr>
              <w:t>A scoped context package can be assembled reproducibly.</w:t>
            </w:r>
          </w:p>
        </w:tc>
      </w:tr>
      <w:tr>
        <w:tc>
          <w:tcPr>
            <w:tcW w:type="dxa" w:w="2304"/>
            <w:vAlign w:val="center"/>
            <w:tcMar>
              <w:top w:w="90" w:type="dxa"/>
              <w:start w:w="110" w:type="dxa"/>
              <w:bottom w:w="90" w:type="dxa"/>
              <w:end w:w="110" w:type="dxa"/>
            </w:tcMar>
          </w:tcPr>
          <w:p>
            <w:pPr>
              <w:spacing w:after="0"/>
            </w:pPr>
            <w:r/>
            <w:r>
              <w:rPr>
                <w:rFonts w:ascii="Aptos" w:hAnsi="Aptos"/>
                <w:b w:val="0"/>
                <w:color w:val="1F1F1F"/>
                <w:sz w:val="17"/>
              </w:rPr>
              <w:t>3. Source Intelligence MVP</w:t>
            </w:r>
          </w:p>
        </w:tc>
        <w:tc>
          <w:tcPr>
            <w:tcW w:type="dxa" w:w="4464"/>
            <w:vAlign w:val="center"/>
            <w:tcMar>
              <w:top w:w="90" w:type="dxa"/>
              <w:start w:w="110" w:type="dxa"/>
              <w:bottom w:w="90" w:type="dxa"/>
              <w:end w:w="110" w:type="dxa"/>
            </w:tcMar>
          </w:tcPr>
          <w:p>
            <w:pPr>
              <w:spacing w:after="0"/>
            </w:pPr>
            <w:r/>
            <w:r>
              <w:rPr>
                <w:rFonts w:ascii="Aptos" w:hAnsi="Aptos"/>
                <w:b w:val="0"/>
                <w:color w:val="1F1F1F"/>
                <w:sz w:val="17"/>
              </w:rPr>
              <w:t>Read-only metadata connector/query set, observation catalog, proposed data dictionary, reviewer queue.</w:t>
            </w:r>
          </w:p>
        </w:tc>
        <w:tc>
          <w:tcPr>
            <w:tcW w:type="dxa" w:w="2376"/>
            <w:vAlign w:val="center"/>
            <w:tcMar>
              <w:top w:w="90" w:type="dxa"/>
              <w:start w:w="110" w:type="dxa"/>
              <w:bottom w:w="90" w:type="dxa"/>
              <w:end w:w="110" w:type="dxa"/>
            </w:tcMar>
          </w:tcPr>
          <w:p>
            <w:pPr>
              <w:spacing w:after="0"/>
            </w:pPr>
            <w:r/>
            <w:r>
              <w:rPr>
                <w:rFonts w:ascii="Aptos" w:hAnsi="Aptos"/>
                <w:b w:val="0"/>
                <w:color w:val="1F1F1F"/>
                <w:sz w:val="17"/>
              </w:rPr>
              <w:t>Reviewers can accept, modify, reject, or defer source-dictionary entries.</w:t>
            </w:r>
          </w:p>
        </w:tc>
      </w:tr>
      <w:tr>
        <w:tc>
          <w:tcPr>
            <w:tcW w:type="dxa" w:w="2304"/>
            <w:vAlign w:val="center"/>
            <w:tcMar>
              <w:top w:w="90" w:type="dxa"/>
              <w:start w:w="110" w:type="dxa"/>
              <w:bottom w:w="90" w:type="dxa"/>
              <w:end w:w="110" w:type="dxa"/>
            </w:tcMar>
          </w:tcPr>
          <w:p>
            <w:pPr>
              <w:spacing w:after="0"/>
            </w:pPr>
            <w:r/>
            <w:r>
              <w:rPr>
                <w:rFonts w:ascii="Aptos" w:hAnsi="Aptos"/>
                <w:b w:val="0"/>
                <w:color w:val="1F1F1F"/>
                <w:sz w:val="17"/>
              </w:rPr>
              <w:t>4. Modeling and mapping MVP</w:t>
            </w:r>
          </w:p>
        </w:tc>
        <w:tc>
          <w:tcPr>
            <w:tcW w:type="dxa" w:w="4464"/>
            <w:vAlign w:val="center"/>
            <w:tcMar>
              <w:top w:w="90" w:type="dxa"/>
              <w:start w:w="110" w:type="dxa"/>
              <w:bottom w:w="90" w:type="dxa"/>
              <w:end w:w="110" w:type="dxa"/>
            </w:tcMar>
          </w:tcPr>
          <w:p>
            <w:pPr>
              <w:spacing w:after="0"/>
            </w:pPr>
            <w:r/>
            <w:r>
              <w:rPr>
                <w:rFonts w:ascii="Aptos" w:hAnsi="Aptos"/>
                <w:b w:val="0"/>
                <w:color w:val="1F1F1F"/>
                <w:sz w:val="17"/>
              </w:rPr>
              <w:t>Ontology mapping, Silver ODS, Gold model, STTM, and trust-evaluation contracts for selected objects.</w:t>
            </w:r>
          </w:p>
        </w:tc>
        <w:tc>
          <w:tcPr>
            <w:tcW w:type="dxa" w:w="2376"/>
            <w:vAlign w:val="center"/>
            <w:tcMar>
              <w:top w:w="90" w:type="dxa"/>
              <w:start w:w="110" w:type="dxa"/>
              <w:bottom w:w="90" w:type="dxa"/>
              <w:end w:w="110" w:type="dxa"/>
            </w:tcMar>
          </w:tcPr>
          <w:p>
            <w:pPr>
              <w:spacing w:after="0"/>
            </w:pPr>
            <w:r/>
            <w:r>
              <w:rPr>
                <w:rFonts w:ascii="Aptos" w:hAnsi="Aptos"/>
                <w:b w:val="0"/>
                <w:color w:val="1F1F1F"/>
                <w:sz w:val="17"/>
              </w:rPr>
              <w:t>End-to-end recommendation package is reviewable.</w:t>
            </w:r>
          </w:p>
        </w:tc>
      </w:tr>
      <w:tr>
        <w:tc>
          <w:tcPr>
            <w:tcW w:type="dxa" w:w="2304"/>
            <w:vAlign w:val="center"/>
            <w:tcMar>
              <w:top w:w="90" w:type="dxa"/>
              <w:start w:w="110" w:type="dxa"/>
              <w:bottom w:w="90" w:type="dxa"/>
              <w:end w:w="110" w:type="dxa"/>
            </w:tcMar>
          </w:tcPr>
          <w:p>
            <w:pPr>
              <w:spacing w:after="0"/>
            </w:pPr>
            <w:r/>
            <w:r>
              <w:rPr>
                <w:rFonts w:ascii="Aptos" w:hAnsi="Aptos"/>
                <w:b w:val="0"/>
                <w:color w:val="1F1F1F"/>
                <w:sz w:val="17"/>
              </w:rPr>
              <w:t>5. Evaluation and decision</w:t>
            </w:r>
          </w:p>
        </w:tc>
        <w:tc>
          <w:tcPr>
            <w:tcW w:type="dxa" w:w="4464"/>
            <w:vAlign w:val="center"/>
            <w:tcMar>
              <w:top w:w="90" w:type="dxa"/>
              <w:start w:w="110" w:type="dxa"/>
              <w:bottom w:w="90" w:type="dxa"/>
              <w:end w:w="110" w:type="dxa"/>
            </w:tcMar>
          </w:tcPr>
          <w:p>
            <w:pPr>
              <w:spacing w:after="0"/>
            </w:pPr>
            <w:r/>
            <w:r>
              <w:rPr>
                <w:rFonts w:ascii="Aptos" w:hAnsi="Aptos"/>
                <w:b w:val="0"/>
                <w:color w:val="1F1F1F"/>
                <w:sz w:val="17"/>
              </w:rPr>
              <w:t>Labelled test set, metrics dashboard, reviewer outcomes, cost/latency findings, go/no-go recommendation.</w:t>
            </w:r>
          </w:p>
        </w:tc>
        <w:tc>
          <w:tcPr>
            <w:tcW w:type="dxa" w:w="2376"/>
            <w:vAlign w:val="center"/>
            <w:tcMar>
              <w:top w:w="90" w:type="dxa"/>
              <w:start w:w="110" w:type="dxa"/>
              <w:bottom w:w="90" w:type="dxa"/>
              <w:end w:w="110" w:type="dxa"/>
            </w:tcMar>
          </w:tcPr>
          <w:p>
            <w:pPr>
              <w:spacing w:after="0"/>
            </w:pPr>
            <w:r/>
            <w:r>
              <w:rPr>
                <w:rFonts w:ascii="Aptos" w:hAnsi="Aptos"/>
                <w:b w:val="0"/>
                <w:color w:val="1F1F1F"/>
                <w:sz w:val="17"/>
              </w:rPr>
              <w:t>Sponsor decision recorded with evidence.</w:t>
            </w:r>
          </w:p>
        </w:tc>
      </w:tr>
    </w:tbl>
    <w:p>
      <w:pPr>
        <w:spacing w:after="20"/>
      </w:pPr>
    </w:p>
    <w:p>
      <w:pPr>
        <w:pStyle w:val="Heading1"/>
        <w:keepNext/>
      </w:pPr>
      <w:r>
        <w:t>10. First-release acceptance targets</w:t>
      </w:r>
    </w:p>
    <w:tbl>
      <w:tblPr>
        <w:tblW w:type="auto" w:w="0"/>
        <w:jc w:val="left"/>
        <w:tblLayout w:type="fixed"/>
        <w:tblLook w:firstColumn="1" w:firstRow="1" w:lastColumn="0" w:lastRow="0" w:noHBand="0" w:noVBand="1" w:val="04A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4968"/>
        <w:gridCol w:w="4968"/>
      </w:tblGrid>
      <w:tr>
        <w:trPr>
          <w:tblHeader w:val="true"/>
        </w:trPr>
        <w:tc>
          <w:tcPr>
            <w:tcW w:type="dxa" w:w="2448"/>
            <w:shd w:fill="17365D"/>
            <w:vAlign w:val="center"/>
            <w:tcMar>
              <w:top w:w="90" w:type="dxa"/>
              <w:start w:w="110" w:type="dxa"/>
              <w:bottom w:w="90" w:type="dxa"/>
              <w:end w:w="110" w:type="dxa"/>
            </w:tcMar>
          </w:tcPr>
          <w:p>
            <w:pPr>
              <w:spacing w:after="0"/>
            </w:pPr>
            <w:r/>
            <w:r>
              <w:rPr>
                <w:rFonts w:ascii="Aptos" w:hAnsi="Aptos"/>
                <w:b/>
                <w:color w:val="FFFFFF"/>
                <w:sz w:val="17"/>
              </w:rPr>
              <w:t>Measure</w:t>
            </w:r>
          </w:p>
        </w:tc>
        <w:tc>
          <w:tcPr>
            <w:tcW w:type="dxa" w:w="6696"/>
            <w:shd w:fill="17365D"/>
            <w:vAlign w:val="center"/>
            <w:tcMar>
              <w:top w:w="90" w:type="dxa"/>
              <w:start w:w="110" w:type="dxa"/>
              <w:bottom w:w="90" w:type="dxa"/>
              <w:end w:w="110" w:type="dxa"/>
            </w:tcMar>
          </w:tcPr>
          <w:p>
            <w:pPr>
              <w:spacing w:after="0"/>
            </w:pPr>
            <w:r/>
            <w:r>
              <w:rPr>
                <w:rFonts w:ascii="Aptos" w:hAnsi="Aptos"/>
                <w:b/>
                <w:color w:val="FFFFFF"/>
                <w:sz w:val="17"/>
              </w:rPr>
              <w:t>Target</w:t>
            </w:r>
          </w:p>
        </w:tc>
      </w:tr>
      <w:tr>
        <w:tc>
          <w:tcPr>
            <w:tcW w:type="dxa" w:w="2448"/>
            <w:vAlign w:val="center"/>
            <w:tcMar>
              <w:top w:w="90" w:type="dxa"/>
              <w:start w:w="110" w:type="dxa"/>
              <w:bottom w:w="90" w:type="dxa"/>
              <w:end w:w="110" w:type="dxa"/>
            </w:tcMar>
          </w:tcPr>
          <w:p>
            <w:pPr>
              <w:spacing w:after="0"/>
            </w:pPr>
            <w:r/>
            <w:r>
              <w:rPr>
                <w:rFonts w:ascii="Aptos" w:hAnsi="Aptos"/>
                <w:b w:val="0"/>
                <w:color w:val="1F1F1F"/>
                <w:sz w:val="17"/>
              </w:rPr>
              <w:t>Evidence completeness</w:t>
            </w:r>
          </w:p>
        </w:tc>
        <w:tc>
          <w:tcPr>
            <w:tcW w:type="dxa" w:w="6696"/>
            <w:vAlign w:val="center"/>
            <w:tcMar>
              <w:top w:w="90" w:type="dxa"/>
              <w:start w:w="110" w:type="dxa"/>
              <w:bottom w:w="90" w:type="dxa"/>
              <w:end w:w="110" w:type="dxa"/>
            </w:tcMar>
          </w:tcPr>
          <w:p>
            <w:pPr>
              <w:spacing w:after="0"/>
            </w:pPr>
            <w:r/>
            <w:r>
              <w:rPr>
                <w:rFonts w:ascii="Aptos" w:hAnsi="Aptos"/>
                <w:b w:val="0"/>
                <w:color w:val="1F1F1F"/>
                <w:sz w:val="17"/>
              </w:rPr>
              <w:t>100% of material recommendations include evidence, provenance, assumptions, contradictions, confidence reasons, and approval state.</w:t>
            </w:r>
          </w:p>
        </w:tc>
      </w:tr>
      <w:tr>
        <w:tc>
          <w:tcPr>
            <w:tcW w:type="dxa" w:w="2448"/>
            <w:vAlign w:val="center"/>
            <w:tcMar>
              <w:top w:w="90" w:type="dxa"/>
              <w:start w:w="110" w:type="dxa"/>
              <w:bottom w:w="90" w:type="dxa"/>
              <w:end w:w="110" w:type="dxa"/>
            </w:tcMar>
          </w:tcPr>
          <w:p>
            <w:pPr>
              <w:spacing w:after="0"/>
            </w:pPr>
            <w:r/>
            <w:r>
              <w:rPr>
                <w:rFonts w:ascii="Aptos" w:hAnsi="Aptos"/>
                <w:b w:val="0"/>
                <w:color w:val="1F1F1F"/>
                <w:sz w:val="17"/>
              </w:rPr>
              <w:t>Sensitive-evidence compliance</w:t>
            </w:r>
          </w:p>
        </w:tc>
        <w:tc>
          <w:tcPr>
            <w:tcW w:type="dxa" w:w="6696"/>
            <w:vAlign w:val="center"/>
            <w:tcMar>
              <w:top w:w="90" w:type="dxa"/>
              <w:start w:w="110" w:type="dxa"/>
              <w:bottom w:w="90" w:type="dxa"/>
              <w:end w:w="110" w:type="dxa"/>
            </w:tcMar>
          </w:tcPr>
          <w:p>
            <w:pPr>
              <w:spacing w:after="0"/>
            </w:pPr>
            <w:r/>
            <w:r>
              <w:rPr>
                <w:rFonts w:ascii="Aptos" w:hAnsi="Aptos"/>
                <w:b w:val="0"/>
                <w:color w:val="1F1F1F"/>
                <w:sz w:val="17"/>
              </w:rPr>
              <w:t>100% of retrieved/indexed inputs pass the approved evidence-classification and sanitization controls.</w:t>
            </w:r>
          </w:p>
        </w:tc>
      </w:tr>
      <w:tr>
        <w:tc>
          <w:tcPr>
            <w:tcW w:type="dxa" w:w="2448"/>
            <w:vAlign w:val="center"/>
            <w:tcMar>
              <w:top w:w="90" w:type="dxa"/>
              <w:start w:w="110" w:type="dxa"/>
              <w:bottom w:w="90" w:type="dxa"/>
              <w:end w:w="110" w:type="dxa"/>
            </w:tcMar>
          </w:tcPr>
          <w:p>
            <w:pPr>
              <w:spacing w:after="0"/>
            </w:pPr>
            <w:r/>
            <w:r>
              <w:rPr>
                <w:rFonts w:ascii="Aptos" w:hAnsi="Aptos"/>
                <w:b w:val="0"/>
                <w:color w:val="1F1F1F"/>
                <w:sz w:val="17"/>
              </w:rPr>
              <w:t>Mapping quality</w:t>
            </w:r>
          </w:p>
        </w:tc>
        <w:tc>
          <w:tcPr>
            <w:tcW w:type="dxa" w:w="6696"/>
            <w:vAlign w:val="center"/>
            <w:tcMar>
              <w:top w:w="90" w:type="dxa"/>
              <w:start w:w="110" w:type="dxa"/>
              <w:bottom w:w="90" w:type="dxa"/>
              <w:end w:w="110" w:type="dxa"/>
            </w:tcMar>
          </w:tcPr>
          <w:p>
            <w:pPr>
              <w:spacing w:after="0"/>
            </w:pPr>
            <w:r/>
            <w:r>
              <w:rPr>
                <w:rFonts w:ascii="Aptos" w:hAnsi="Aptos"/>
                <w:b w:val="0"/>
                <w:color w:val="1F1F1F"/>
                <w:sz w:val="17"/>
              </w:rPr>
              <w:t>Threshold to be set against a labelled reviewer set before build; report precision, recall, and reviewer override rate.</w:t>
            </w:r>
          </w:p>
        </w:tc>
      </w:tr>
      <w:tr>
        <w:tc>
          <w:tcPr>
            <w:tcW w:type="dxa" w:w="2448"/>
            <w:vAlign w:val="center"/>
            <w:tcMar>
              <w:top w:w="90" w:type="dxa"/>
              <w:start w:w="110" w:type="dxa"/>
              <w:bottom w:w="90" w:type="dxa"/>
              <w:end w:w="110" w:type="dxa"/>
            </w:tcMar>
          </w:tcPr>
          <w:p>
            <w:pPr>
              <w:spacing w:after="0"/>
            </w:pPr>
            <w:r/>
            <w:r>
              <w:rPr>
                <w:rFonts w:ascii="Aptos" w:hAnsi="Aptos"/>
                <w:b w:val="0"/>
                <w:color w:val="1F1F1F"/>
                <w:sz w:val="17"/>
              </w:rPr>
              <w:t>Review throughput</w:t>
            </w:r>
          </w:p>
        </w:tc>
        <w:tc>
          <w:tcPr>
            <w:tcW w:type="dxa" w:w="6696"/>
            <w:vAlign w:val="center"/>
            <w:tcMar>
              <w:top w:w="90" w:type="dxa"/>
              <w:start w:w="110" w:type="dxa"/>
              <w:bottom w:w="90" w:type="dxa"/>
              <w:end w:w="110" w:type="dxa"/>
            </w:tcMar>
          </w:tcPr>
          <w:p>
            <w:pPr>
              <w:spacing w:after="0"/>
            </w:pPr>
            <w:r/>
            <w:r>
              <w:rPr>
                <w:rFonts w:ascii="Aptos" w:hAnsi="Aptos"/>
                <w:b w:val="0"/>
                <w:color w:val="1F1F1F"/>
                <w:sz w:val="17"/>
              </w:rPr>
              <w:t>Target median decision time set during inception; report bottlenecks by reviewer role and artifact type.</w:t>
            </w:r>
          </w:p>
        </w:tc>
      </w:tr>
      <w:tr>
        <w:tc>
          <w:tcPr>
            <w:tcW w:type="dxa" w:w="2448"/>
            <w:vAlign w:val="center"/>
            <w:tcMar>
              <w:top w:w="90" w:type="dxa"/>
              <w:start w:w="110" w:type="dxa"/>
              <w:bottom w:w="90" w:type="dxa"/>
              <w:end w:w="110" w:type="dxa"/>
            </w:tcMar>
          </w:tcPr>
          <w:p>
            <w:pPr>
              <w:spacing w:after="0"/>
            </w:pPr>
            <w:r/>
            <w:r>
              <w:rPr>
                <w:rFonts w:ascii="Aptos" w:hAnsi="Aptos"/>
                <w:b w:val="0"/>
                <w:color w:val="1F1F1F"/>
                <w:sz w:val="17"/>
              </w:rPr>
              <w:t>Workflow reliability</w:t>
            </w:r>
          </w:p>
        </w:tc>
        <w:tc>
          <w:tcPr>
            <w:tcW w:type="dxa" w:w="6696"/>
            <w:vAlign w:val="center"/>
            <w:tcMar>
              <w:top w:w="90" w:type="dxa"/>
              <w:start w:w="110" w:type="dxa"/>
              <w:bottom w:w="90" w:type="dxa"/>
              <w:end w:w="110" w:type="dxa"/>
            </w:tcMar>
          </w:tcPr>
          <w:p>
            <w:pPr>
              <w:spacing w:after="0"/>
            </w:pPr>
            <w:r/>
            <w:r>
              <w:rPr>
                <w:rFonts w:ascii="Aptos" w:hAnsi="Aptos"/>
                <w:b w:val="0"/>
                <w:color w:val="1F1F1F"/>
                <w:sz w:val="17"/>
              </w:rPr>
              <w:t>All task failures are traceable; retry and invalidation behavior is demonstrated using controlled test scenarios.</w:t>
            </w:r>
          </w:p>
        </w:tc>
      </w:tr>
      <w:tr>
        <w:tc>
          <w:tcPr>
            <w:tcW w:type="dxa" w:w="2448"/>
            <w:vAlign w:val="center"/>
            <w:tcMar>
              <w:top w:w="90" w:type="dxa"/>
              <w:start w:w="110" w:type="dxa"/>
              <w:bottom w:w="90" w:type="dxa"/>
              <w:end w:w="110" w:type="dxa"/>
            </w:tcMar>
          </w:tcPr>
          <w:p>
            <w:pPr>
              <w:spacing w:after="0"/>
            </w:pPr>
            <w:r/>
            <w:r>
              <w:rPr>
                <w:rFonts w:ascii="Aptos" w:hAnsi="Aptos"/>
                <w:b w:val="0"/>
                <w:color w:val="1F1F1F"/>
                <w:sz w:val="17"/>
              </w:rPr>
              <w:t>Cost and latency</w:t>
            </w:r>
          </w:p>
        </w:tc>
        <w:tc>
          <w:tcPr>
            <w:tcW w:type="dxa" w:w="6696"/>
            <w:vAlign w:val="center"/>
            <w:tcMar>
              <w:top w:w="90" w:type="dxa"/>
              <w:start w:w="110" w:type="dxa"/>
              <w:bottom w:w="90" w:type="dxa"/>
              <w:end w:w="110" w:type="dxa"/>
            </w:tcMar>
          </w:tcPr>
          <w:p>
            <w:pPr>
              <w:spacing w:after="0"/>
            </w:pPr>
            <w:r/>
            <w:r>
              <w:rPr>
                <w:rFonts w:ascii="Aptos" w:hAnsi="Aptos"/>
                <w:b w:val="0"/>
                <w:color w:val="1F1F1F"/>
                <w:sz w:val="17"/>
              </w:rPr>
              <w:t>Project-defined budget and elapsed-time target per source object, measured by workflow stage.</w:t>
            </w:r>
          </w:p>
        </w:tc>
      </w:tr>
    </w:tbl>
    <w:p>
      <w:pPr>
        <w:spacing w:after="20"/>
      </w:pPr>
    </w:p>
    <w:p>
      <w:pPr>
        <w:pStyle w:val="Heading1"/>
        <w:keepNext/>
      </w:pPr>
      <w:r>
        <w:t>11. Immediate next action</w:t>
      </w:r>
    </w:p>
    <w:tbl>
      <w:tblPr>
        <w:tblW w:type="auto" w:w="0"/>
        <w:jc w:val="left"/>
        <w:tblLayout w:type="fixed"/>
        <w:tblLook w:firstColumn="1" w:firstRow="1" w:lastColumn="0" w:lastRow="0" w:noHBand="0" w:noVBand="1" w:val="04A0"/>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Grid>
        <w:gridCol w:w="9936"/>
      </w:tblGrid>
      <w:tr>
        <w:tc>
          <w:tcPr>
            <w:tcW w:type="dxa" w:w="9144"/>
            <w:shd w:fill="D9EAF7"/>
            <w:tcMar>
              <w:top w:w="120" w:type="dxa"/>
              <w:start w:w="150" w:type="dxa"/>
              <w:bottom w:w="120" w:type="dxa"/>
              <w:end w:w="150" w:type="dxa"/>
            </w:tcMar>
          </w:tcPr>
          <w:p>
            <w:pPr>
              <w:spacing w:after="0"/>
            </w:pPr>
            <w:r/>
            <w:r>
              <w:rPr>
                <w:b/>
                <w:color w:val="17365D"/>
              </w:rPr>
              <w:t xml:space="preserve">Recommended starting point: </w:t>
            </w:r>
            <w:r>
              <w:t>Run the inception workshop and populate the pilot decision record. The first build artifact should be the source-object inventory and evidence-classification matrix for the chosen product/module/version and domain.</w:t>
            </w:r>
          </w:p>
        </w:tc>
      </w:tr>
    </w:tbl>
    <w:p>
      <w:pPr>
        <w:spacing w:after="20"/>
      </w:pPr>
    </w:p>
    <w:sectPr w:rsidR="00FC693F" w:rsidRPr="0006063C" w:rsidSect="00034616">
      <w:headerReference w:type="default" r:id="rId9"/>
      <w:footerReference w:type="default" r:id="rId10"/>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Page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color w:val="0F6B78"/>
        <w:sz w:val="16"/>
      </w:rPr>
      <w:t>AGENTIC TARGET MODELING | PILOT IMPLEMENTATION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F6B78"/>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color w:val="1F1F1F"/>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