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jc w:val="center"/>
      </w:pPr>
      <w:r>
        <w:rPr>
          <w:b/>
          <w:bCs/>
          <w:color w:val="FF3621"/>
          <w:sz w:val="18"/>
          <w:szCs w:val="18"/>
        </w:rPr>
        <w:t xml:space="preserve">DATABRICKS LAKEHOUSE ACCELERATOR   ·   INTERNAL IDEATION BRIEF</w:t>
      </w:r>
    </w:p>
    <w:p>
      <w:pPr>
        <w:spacing w:after="60"/>
        <w:jc w:val="center"/>
      </w:pPr>
      <w:r>
        <w:rPr>
          <w:b/>
          <w:bCs/>
          <w:color w:val="152744"/>
          <w:sz w:val="76"/>
          <w:szCs w:val="76"/>
        </w:rPr>
        <w:t xml:space="preserve">InsureLake</w:t>
      </w:r>
    </w:p>
    <w:p>
      <w:pPr>
        <w:spacing w:after="240"/>
        <w:jc w:val="center"/>
      </w:pPr>
      <w:r>
        <w:rPr>
          <w:color w:val="33414F"/>
          <w:sz w:val="26"/>
          <w:szCs w:val="26"/>
        </w:rPr>
        <w:t xml:space="preserve">An End-to-End Data, Analytics &amp; AI Accelerator for</w:t>
      </w:r>
      <w:r>
        <w:t xml:space="preserve"/>
      </w:r>
    </w:p>
    <w:p>
      <w:pPr>
        <w:spacing w:after="60"/>
        <w:jc w:val="center"/>
      </w:pPr>
      <w:r>
        <w:rPr>
          <w:color w:val="33414F"/>
          <w:sz w:val="26"/>
          <w:szCs w:val="26"/>
        </w:rPr>
        <w:t xml:space="preserve">Property &amp; Casualty Insurance on the Databricks Lakehouse</w:t>
      </w:r>
    </w:p>
    <w:p>
      <w:pPr>
        <w:pBdr>
          <w:bottom w:val="single" w:color="FF3621" w:sz="12" w:space="4"/>
        </w:pBdr>
        <w:spacing w:after="300" w:before="80"/>
        <w:jc w:val="center"/>
      </w:pPr>
    </w:p>
    <w:p>
      <w:pPr>
        <w:spacing w:after="360"/>
        <w:jc w:val="center"/>
      </w:pPr>
      <w:r>
        <w:rPr>
          <w:i/>
          <w:iCs/>
          <w:color w:val="7A8696"/>
          <w:sz w:val="18"/>
          <w:szCs w:val="18"/>
        </w:rPr>
        <w:t xml:space="preserve">Working title — open to rebranding with the customer / GTM team</w:t>
      </w:r>
    </w:p>
    <w:p>
      <w:pPr>
        <w:spacing w:after="40"/>
        <w:jc w:val="center"/>
      </w:pPr>
      <w:r>
        <w:rPr>
          <w:color w:val="232A33"/>
          <w:sz w:val="20"/>
          <w:szCs w:val="20"/>
        </w:rPr>
        <w:t xml:space="preserve">Version 0.1  ·  Draft for internal alignment</w:t>
      </w:r>
    </w:p>
    <w:p>
      <w:pPr>
        <w:spacing w:after="40"/>
        <w:jc w:val="center"/>
      </w:pPr>
      <w:r>
        <w:rPr>
          <w:color w:val="232A33"/>
          <w:sz w:val="20"/>
          <w:szCs w:val="20"/>
        </w:rPr>
        <w:t xml:space="preserve">16 June 2026</w:t>
      </w:r>
    </w:p>
    <w:p>
      <w:pPr>
        <w:spacing w:after="420"/>
        <w:jc w:val="center"/>
      </w:pPr>
      <w:r>
        <w:rPr>
          <w:color w:val="232A33"/>
          <w:sz w:val="20"/>
          <w:szCs w:val="20"/>
        </w:rPr>
        <w:t xml:space="preserve">Audience: business &amp; technical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A" w:sz="1"/>
              <w:left w:val="single" w:color="FF3621" w:sz="18"/>
              <w:bottom w:val="single" w:color="C8D0DA" w:sz="1"/>
              <w:right w:val="single" w:color="C8D0DA" w:sz="1"/>
            </w:tcBorders>
            <w:shd w:fill="F3F6FA" w:val="clear"/>
            <w:tcMar>
              <w:top w:type="dxa" w:w="150"/>
              <w:left w:type="dxa" w:w="220"/>
              <w:bottom w:type="dxa" w:w="150"/>
              <w:right w:type="dxa" w:w="200"/>
            </w:tcMar>
          </w:tcPr>
          <w:p>
            <w:pPr>
              <w:spacing w:after="60" w:line="264"/>
            </w:pPr>
            <w:r>
              <w:rPr>
                <w:b/>
                <w:bCs/>
                <w:i w:val="false"/>
                <w:iCs w:val="false"/>
                <w:color w:val="152744"/>
                <w:sz w:val="22"/>
                <w:szCs w:val="22"/>
              </w:rPr>
              <w:t xml:space="preserve">Purpose of this brief</w:t>
            </w:r>
          </w:p>
          <w:p>
            <w:pPr>
              <w:spacing w:after="60" w:line="264"/>
            </w:pPr>
            <w:r>
              <w:rPr>
                <w:b w:val="false"/>
                <w:bCs w:val="false"/>
                <w:i w:val="false"/>
                <w:iCs w:val="false"/>
                <w:color w:val="33414F"/>
                <w:sz w:val="20"/>
                <w:szCs w:val="20"/>
              </w:rPr>
              <w:t xml:space="preserve">Align the team on the vision, scope, reference architecture, use-case catalog and go-to-market for a Property &amp; Casualty insurance accelerator on Databricks — a reusable, demoable asset we can present to customers — before we commit build effort.</w:t>
            </w:r>
          </w:p>
        </w:tc>
      </w:tr>
    </w:tbl>
    <w:p>
      <w:r>
        <w:br w:type="page"/>
      </w:r>
    </w:p>
    <w:p>
      <w:pPr>
        <w:spacing w:after="220"/>
      </w:pPr>
      <w:r>
        <w:rPr>
          <w:b/>
          <w:bCs/>
          <w:color w:val="152744"/>
          <w:sz w:val="30"/>
          <w:szCs w:val="30"/>
        </w:rPr>
        <w:t xml:space="preserve">Contents</w:t>
      </w:r>
    </w:p>
    <w:p>
      <w:pPr>
        <w:tabs>
          <w:tab w:val="right" w:pos="9360" w:leader="dot"/>
        </w:tabs>
        <w:spacing w:after="100" w:line="276"/>
      </w:pPr>
      <w:r>
        <w:rPr>
          <w:b w:val="false"/>
          <w:bCs w:val="false"/>
          <w:color w:val="2B3A55"/>
          <w:sz w:val="21"/>
          <w:szCs w:val="21"/>
        </w:rPr>
        <w:t xml:space="preserve">1.   Executive Summary</w:t>
      </w:r>
      <w:r>
        <w:t xml:space="preserve">	</w:t>
      </w:r>
      <w:r>
        <w:rPr>
          <w:color w:val="232A33"/>
          <w:sz w:val="21"/>
          <w:szCs w:val="21"/>
        </w:rPr>
        <w:t xml:space="preserve">3</w:t>
      </w:r>
    </w:p>
    <w:p>
      <w:pPr>
        <w:tabs>
          <w:tab w:val="right" w:pos="9360" w:leader="dot"/>
        </w:tabs>
        <w:spacing w:after="100" w:line="276"/>
      </w:pPr>
      <w:r>
        <w:rPr>
          <w:b w:val="false"/>
          <w:bCs w:val="false"/>
          <w:color w:val="2B3A55"/>
          <w:sz w:val="21"/>
          <w:szCs w:val="21"/>
        </w:rPr>
        <w:t xml:space="preserve">2.   Why P&amp;C Insurance, and Why Now</w:t>
      </w:r>
      <w:r>
        <w:t xml:space="preserve">	</w:t>
      </w:r>
      <w:r>
        <w:rPr>
          <w:color w:val="232A33"/>
          <w:sz w:val="21"/>
          <w:szCs w:val="21"/>
        </w:rPr>
        <w:t xml:space="preserve">3</w:t>
      </w:r>
    </w:p>
    <w:p>
      <w:pPr>
        <w:tabs>
          <w:tab w:val="right" w:pos="9360" w:leader="dot"/>
        </w:tabs>
        <w:spacing w:after="100" w:line="276"/>
      </w:pPr>
      <w:r>
        <w:rPr>
          <w:b w:val="false"/>
          <w:bCs w:val="false"/>
          <w:color w:val="2B3A55"/>
          <w:sz w:val="21"/>
          <w:szCs w:val="21"/>
        </w:rPr>
        <w:t xml:space="preserve">3.   Who We Are Building For</w:t>
      </w:r>
      <w:r>
        <w:t xml:space="preserve">	</w:t>
      </w:r>
      <w:r>
        <w:rPr>
          <w:color w:val="232A33"/>
          <w:sz w:val="21"/>
          <w:szCs w:val="21"/>
        </w:rPr>
        <w:t xml:space="preserve">4</w:t>
      </w:r>
    </w:p>
    <w:p>
      <w:pPr>
        <w:tabs>
          <w:tab w:val="right" w:pos="9360" w:leader="dot"/>
        </w:tabs>
        <w:spacing w:after="100" w:line="276"/>
      </w:pPr>
      <w:r>
        <w:rPr>
          <w:b w:val="false"/>
          <w:bCs w:val="false"/>
          <w:color w:val="2B3A55"/>
          <w:sz w:val="21"/>
          <w:szCs w:val="21"/>
        </w:rPr>
        <w:t xml:space="preserve">4.   The Accelerator Concept &amp; Design Principles</w:t>
      </w:r>
      <w:r>
        <w:t xml:space="preserve">	</w:t>
      </w:r>
      <w:r>
        <w:rPr>
          <w:color w:val="232A33"/>
          <w:sz w:val="21"/>
          <w:szCs w:val="21"/>
        </w:rPr>
        <w:t xml:space="preserve">5</w:t>
      </w:r>
    </w:p>
    <w:p>
      <w:pPr>
        <w:tabs>
          <w:tab w:val="right" w:pos="9360" w:leader="dot"/>
        </w:tabs>
        <w:spacing w:after="100" w:line="276"/>
      </w:pPr>
      <w:r>
        <w:rPr>
          <w:b w:val="false"/>
          <w:bCs w:val="false"/>
          <w:color w:val="2B3A55"/>
          <w:sz w:val="21"/>
          <w:szCs w:val="21"/>
        </w:rPr>
        <w:t xml:space="preserve">5.   Solution Architecture</w:t>
      </w:r>
      <w:r>
        <w:t xml:space="preserve">	</w:t>
      </w:r>
      <w:r>
        <w:rPr>
          <w:color w:val="232A33"/>
          <w:sz w:val="21"/>
          <w:szCs w:val="21"/>
        </w:rPr>
        <w:t xml:space="preserve">6</w:t>
      </w:r>
    </w:p>
    <w:p>
      <w:pPr>
        <w:tabs>
          <w:tab w:val="right" w:pos="9360" w:leader="dot"/>
        </w:tabs>
        <w:spacing w:after="100" w:line="276"/>
      </w:pPr>
      <w:r>
        <w:rPr>
          <w:b w:val="false"/>
          <w:bCs w:val="false"/>
          <w:color w:val="2B3A55"/>
          <w:sz w:val="21"/>
          <w:szCs w:val="21"/>
        </w:rPr>
        <w:t xml:space="preserve">6.   P&amp;C Use-Case Catalog</w:t>
      </w:r>
      <w:r>
        <w:t xml:space="preserve">	</w:t>
      </w:r>
      <w:r>
        <w:rPr>
          <w:color w:val="232A33"/>
          <w:sz w:val="21"/>
          <w:szCs w:val="21"/>
        </w:rPr>
        <w:t xml:space="preserve">8</w:t>
      </w:r>
    </w:p>
    <w:p>
      <w:pPr>
        <w:tabs>
          <w:tab w:val="right" w:pos="9360" w:leader="dot"/>
        </w:tabs>
        <w:spacing w:after="100" w:line="276"/>
      </w:pPr>
      <w:r>
        <w:rPr>
          <w:b w:val="false"/>
          <w:bCs w:val="false"/>
          <w:color w:val="2B3A55"/>
          <w:sz w:val="21"/>
          <w:szCs w:val="21"/>
        </w:rPr>
        <w:t xml:space="preserve">7.   Experience Layer: BI Dashboards + GenAI</w:t>
      </w:r>
      <w:r>
        <w:t xml:space="preserve">	</w:t>
      </w:r>
      <w:r>
        <w:rPr>
          <w:color w:val="232A33"/>
          <w:sz w:val="21"/>
          <w:szCs w:val="21"/>
        </w:rPr>
        <w:t xml:space="preserve">10</w:t>
      </w:r>
    </w:p>
    <w:p>
      <w:pPr>
        <w:tabs>
          <w:tab w:val="right" w:pos="9360" w:leader="dot"/>
        </w:tabs>
        <w:spacing w:after="100" w:line="276"/>
      </w:pPr>
      <w:r>
        <w:rPr>
          <w:b w:val="false"/>
          <w:bCs w:val="false"/>
          <w:color w:val="2B3A55"/>
          <w:sz w:val="21"/>
          <w:szCs w:val="21"/>
        </w:rPr>
        <w:t xml:space="preserve">8.   What We Will Ship</w:t>
      </w:r>
      <w:r>
        <w:t xml:space="preserve">	</w:t>
      </w:r>
      <w:r>
        <w:rPr>
          <w:color w:val="232A33"/>
          <w:sz w:val="21"/>
          <w:szCs w:val="21"/>
        </w:rPr>
        <w:t xml:space="preserve">10</w:t>
      </w:r>
    </w:p>
    <w:p>
      <w:pPr>
        <w:tabs>
          <w:tab w:val="right" w:pos="9360" w:leader="dot"/>
        </w:tabs>
        <w:spacing w:after="100" w:line="276"/>
      </w:pPr>
      <w:r>
        <w:rPr>
          <w:b w:val="false"/>
          <w:bCs w:val="false"/>
          <w:color w:val="2B3A55"/>
          <w:sz w:val="21"/>
          <w:szCs w:val="21"/>
        </w:rPr>
        <w:t xml:space="preserve">9.   Build Roadmap &amp; Customer Deployment Path</w:t>
      </w:r>
      <w:r>
        <w:t xml:space="preserve">	</w:t>
      </w:r>
      <w:r>
        <w:rPr>
          <w:color w:val="232A33"/>
          <w:sz w:val="21"/>
          <w:szCs w:val="21"/>
        </w:rPr>
        <w:t xml:space="preserve">11</w:t>
      </w:r>
    </w:p>
    <w:p>
      <w:pPr>
        <w:tabs>
          <w:tab w:val="right" w:pos="9360" w:leader="dot"/>
        </w:tabs>
        <w:spacing w:after="100" w:line="276"/>
      </w:pPr>
      <w:r>
        <w:rPr>
          <w:b w:val="false"/>
          <w:bCs w:val="false"/>
          <w:color w:val="2B3A55"/>
          <w:sz w:val="21"/>
          <w:szCs w:val="21"/>
        </w:rPr>
        <w:t xml:space="preserve">10.  Business Value &amp; ROI</w:t>
      </w:r>
      <w:r>
        <w:t xml:space="preserve">	</w:t>
      </w:r>
      <w:r>
        <w:rPr>
          <w:color w:val="232A33"/>
          <w:sz w:val="21"/>
          <w:szCs w:val="21"/>
        </w:rPr>
        <w:t xml:space="preserve">12</w:t>
      </w:r>
    </w:p>
    <w:p>
      <w:pPr>
        <w:tabs>
          <w:tab w:val="right" w:pos="9360" w:leader="dot"/>
        </w:tabs>
        <w:spacing w:after="100" w:line="276"/>
      </w:pPr>
      <w:r>
        <w:rPr>
          <w:b w:val="false"/>
          <w:bCs w:val="false"/>
          <w:color w:val="2B3A55"/>
          <w:sz w:val="21"/>
          <w:szCs w:val="21"/>
        </w:rPr>
        <w:t xml:space="preserve">11.  Go-to-Market &amp; Positioning</w:t>
      </w:r>
      <w:r>
        <w:t xml:space="preserve">	</w:t>
      </w:r>
      <w:r>
        <w:rPr>
          <w:color w:val="232A33"/>
          <w:sz w:val="21"/>
          <w:szCs w:val="21"/>
        </w:rPr>
        <w:t xml:space="preserve">12</w:t>
      </w:r>
    </w:p>
    <w:p>
      <w:pPr>
        <w:tabs>
          <w:tab w:val="right" w:pos="9360" w:leader="dot"/>
        </w:tabs>
        <w:spacing w:after="100" w:line="276"/>
      </w:pPr>
      <w:r>
        <w:rPr>
          <w:b w:val="false"/>
          <w:bCs w:val="false"/>
          <w:color w:val="2B3A55"/>
          <w:sz w:val="21"/>
          <w:szCs w:val="21"/>
        </w:rPr>
        <w:t xml:space="preserve">12.  Risks, Considerations &amp; Open Questions</w:t>
      </w:r>
      <w:r>
        <w:t xml:space="preserve">	</w:t>
      </w:r>
      <w:r>
        <w:rPr>
          <w:color w:val="232A33"/>
          <w:sz w:val="21"/>
          <w:szCs w:val="21"/>
        </w:rPr>
        <w:t xml:space="preserve">13</w:t>
      </w:r>
    </w:p>
    <w:p>
      <w:pPr>
        <w:tabs>
          <w:tab w:val="right" w:pos="9360" w:leader="dot"/>
        </w:tabs>
        <w:spacing w:after="100" w:line="276"/>
      </w:pPr>
      <w:r>
        <w:rPr>
          <w:b w:val="false"/>
          <w:bCs w:val="false"/>
          <w:color w:val="2B3A55"/>
          <w:sz w:val="21"/>
          <w:szCs w:val="21"/>
        </w:rPr>
        <w:t xml:space="preserve">13.  Recommended Next Steps</w:t>
      </w:r>
      <w:r>
        <w:t xml:space="preserve">	</w:t>
      </w:r>
      <w:r>
        <w:rPr>
          <w:color w:val="232A33"/>
          <w:sz w:val="21"/>
          <w:szCs w:val="21"/>
        </w:rPr>
        <w:t xml:space="preserve">14</w:t>
      </w:r>
    </w:p>
    <w:p>
      <w:pPr>
        <w:tabs>
          <w:tab w:val="right" w:pos="9360" w:leader="dot"/>
        </w:tabs>
        <w:spacing w:after="100" w:line="276"/>
      </w:pPr>
      <w:r>
        <w:rPr>
          <w:b/>
          <w:bCs/>
          <w:color w:val="2B3A55"/>
          <w:sz w:val="21"/>
          <w:szCs w:val="21"/>
        </w:rPr>
        <w:t xml:space="preserve">Appendix A — Databricks Capability Glossary</w:t>
      </w:r>
      <w:r>
        <w:t xml:space="preserve">	</w:t>
      </w:r>
      <w:r>
        <w:rPr>
          <w:color w:val="232A33"/>
          <w:sz w:val="21"/>
          <w:szCs w:val="21"/>
        </w:rPr>
        <w:t xml:space="preserve">15</w:t>
      </w:r>
    </w:p>
    <w:p>
      <w:pPr>
        <w:tabs>
          <w:tab w:val="right" w:pos="9360" w:leader="dot"/>
        </w:tabs>
        <w:spacing w:after="100" w:line="276"/>
      </w:pPr>
      <w:r>
        <w:rPr>
          <w:b/>
          <w:bCs/>
          <w:color w:val="2B3A55"/>
          <w:sz w:val="21"/>
          <w:szCs w:val="21"/>
        </w:rPr>
        <w:t xml:space="preserve">Appendix B — References</w:t>
      </w:r>
      <w:r>
        <w:t xml:space="preserve">	</w:t>
      </w:r>
      <w:r>
        <w:rPr>
          <w:color w:val="232A33"/>
          <w:sz w:val="21"/>
          <w:szCs w:val="21"/>
        </w:rPr>
        <w:t xml:space="preserve">15</w:t>
      </w:r>
    </w:p>
    <w:p>
      <w:r>
        <w:br w:type="page"/>
      </w:r>
    </w:p>
    <w:p>
      <w:pPr>
        <w:pStyle w:val="Heading1"/>
        <w:pBdr>
          <w:bottom w:val="single" w:color="FF3621" w:sz="6" w:space="6"/>
        </w:pBdr>
      </w:pPr>
      <w:r>
        <w:t xml:space="preserve">1.  Executive Summary</w:t>
      </w:r>
    </w:p>
    <w:p>
      <w:pPr>
        <w:spacing w:after="140" w:line="276"/>
      </w:pPr>
      <w:r>
        <w:t xml:space="preserve">Property &amp; Casualty insurers are under pressure to modernize, yet their data remains trapped across policy administration, claims, billing, telematics, third-party feeds and mountains of unstructured documents. </w:t>
      </w:r>
      <w:r>
        <w:rPr>
          <w:b/>
          <w:bCs/>
        </w:rPr>
        <w:t xml:space="preserve">InsureLake</w:t>
      </w:r>
      <w:r>
        <w:t xml:space="preserve"> is a pre-built, deployable accelerator that stands up a governed P&amp;C insurance Lakehouse on the Databricks Data Intelligence Platform and ships a curated set of high-value use cases spanning claims, underwriting, fraud and customer — delivered through dashboards, ML models and GenAI agents — so a customer can move from idea to a working proof of value in weeks, not quarters.</w:t>
      </w:r>
    </w:p>
    <w:p>
      <w:pPr>
        <w:spacing w:after="140" w:line="276"/>
      </w:pPr>
      <w:r>
        <w:t xml:space="preserve">For us, the accelerator is a credible, repeatable, industry-specific asset. It shortens discovery and sales cycles, anchors Lakehouse migration conversations in tangible insurance outcomes, and turns one-off project work into reusable intellectual property we can deploy across accounts.</w:t>
      </w:r>
    </w:p>
    <w:p>
      <w:pPr>
        <w:spacing w:after="140" w:line="276"/>
      </w:pPr>
      <w:r>
        <w:t xml:space="preserve">Version 1 focuses on a P&amp;C data foundation plus four “lighthouse” use cases that together showcase the full platform story: classic BI, machine learning, generative AI and real-time decisioning — all on one governed copy of the data. The remainder of this brief sets out why P&amp;C and why now, who we are building for, the design principles, the reference architecture, the full use-case catalog, the experience layer, what we will actually ship, a build roadmap, the value case and a go-to-market plan.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8D0DA" w:sz="1"/>
              <w:left w:val="single" w:color="C8D0DA" w:sz="1"/>
              <w:bottom w:val="single" w:color="C8D0DA" w:sz="1"/>
              <w:right w:val="single" w:color="C8D0DA" w:sz="1"/>
            </w:tcBorders>
            <w:shd w:fill="152744" w:val="clear"/>
            <w:tcMar>
              <w:top w:type="dxa" w:w="60"/>
              <w:left w:type="dxa" w:w="110"/>
              <w:bottom w:type="dxa" w:w="60"/>
              <w:right w:type="dxa" w:w="110"/>
            </w:tcMar>
            <w:vAlign w:val="center"/>
          </w:tcPr>
          <w:p>
            <w:pPr>
              <w:spacing w:after="0" w:line="252"/>
            </w:pPr>
            <w:r>
              <w:rPr>
                <w:b/>
                <w:bCs/>
                <w:color w:val="FFFFFF"/>
                <w:sz w:val="18"/>
                <w:szCs w:val="18"/>
              </w:rPr>
              <w:t xml:space="preserve">At a glance</w:t>
            </w:r>
          </w:p>
        </w:tc>
        <w:tc>
          <w:tcPr>
            <w:tcW w:type="dxa" w:w="6860"/>
            <w:tcBorders>
              <w:top w:val="single" w:color="C8D0DA" w:sz="1"/>
              <w:left w:val="single" w:color="C8D0DA" w:sz="1"/>
              <w:bottom w:val="single" w:color="C8D0DA" w:sz="1"/>
              <w:right w:val="single" w:color="C8D0DA" w:sz="1"/>
            </w:tcBorders>
            <w:shd w:fill="152744" w:val="clear"/>
            <w:tcMar>
              <w:top w:type="dxa" w:w="60"/>
              <w:left w:type="dxa" w:w="110"/>
              <w:bottom w:type="dxa" w:w="60"/>
              <w:right w:type="dxa" w:w="110"/>
            </w:tcMar>
            <w:vAlign w:val="center"/>
          </w:tcPr>
          <w:p>
            <w:pPr>
              <w:spacing w:after="0" w:line="252"/>
            </w:pPr>
            <w:r>
              <w:rPr>
                <w:b/>
                <w:bCs/>
                <w:color w:val="FFFFFF"/>
                <w:sz w:val="18"/>
                <w:szCs w:val="18"/>
              </w:rPr>
              <w:t xml:space="preserve"/>
            </w:r>
          </w:p>
        </w:tc>
      </w:tr>
      <w:tr>
        <w:tc>
          <w:tcPr>
            <w:tcW w:type="dxa" w:w="25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bCs/>
                <w:sz w:val="18"/>
                <w:szCs w:val="18"/>
              </w:rPr>
              <w:t xml:space="preserve">Domain focus</w:t>
            </w:r>
          </w:p>
        </w:tc>
        <w:tc>
          <w:tcPr>
            <w:tcW w:type="dxa" w:w="686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8"/>
                <w:szCs w:val="18"/>
              </w:rPr>
              <w:t xml:space="preserve">Property &amp; Casualty / General Insurance (personal &amp; commercial lines)</w:t>
            </w:r>
          </w:p>
        </w:tc>
      </w:tr>
      <w:tr>
        <w:tc>
          <w:tcPr>
            <w:tcW w:type="dxa" w:w="25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bCs/>
                <w:sz w:val="18"/>
                <w:szCs w:val="18"/>
              </w:rPr>
              <w:t xml:space="preserve">Platform</w:t>
            </w:r>
          </w:p>
        </w:tc>
        <w:tc>
          <w:tcPr>
            <w:tcW w:type="dxa" w:w="686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8"/>
                <w:szCs w:val="18"/>
              </w:rPr>
              <w:t xml:space="preserve">Databricks Data Intelligence Platform (Lakehouse) — cloud-agnostic across AWS, Azure and GCP</w:t>
            </w:r>
          </w:p>
        </w:tc>
      </w:tr>
      <w:tr>
        <w:tc>
          <w:tcPr>
            <w:tcW w:type="dxa" w:w="25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bCs/>
                <w:sz w:val="18"/>
                <w:szCs w:val="18"/>
              </w:rPr>
              <w:t xml:space="preserve">Primary outcomes</w:t>
            </w:r>
          </w:p>
        </w:tc>
        <w:tc>
          <w:tcPr>
            <w:tcW w:type="dxa" w:w="686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8"/>
                <w:szCs w:val="18"/>
              </w:rPr>
              <w:t xml:space="preserve">Faster, lower-cost claims; sharper underwriting &amp; pricing; reduced fraud leakage; higher retention; one governed data foundation</w:t>
            </w:r>
          </w:p>
        </w:tc>
      </w:tr>
      <w:tr>
        <w:tc>
          <w:tcPr>
            <w:tcW w:type="dxa" w:w="25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bCs/>
                <w:sz w:val="18"/>
                <w:szCs w:val="18"/>
              </w:rPr>
              <w:t xml:space="preserve">Capabilities shown</w:t>
            </w:r>
          </w:p>
        </w:tc>
        <w:tc>
          <w:tcPr>
            <w:tcW w:type="dxa" w:w="686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8"/>
                <w:szCs w:val="18"/>
              </w:rPr>
              <w:t xml:space="preserve">Reference architecture · ML use cases · GenAI agents · AI/BI dashboards &amp; Genie</w:t>
            </w:r>
          </w:p>
        </w:tc>
      </w:tr>
      <w:tr>
        <w:tc>
          <w:tcPr>
            <w:tcW w:type="dxa" w:w="25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bCs/>
                <w:sz w:val="18"/>
                <w:szCs w:val="18"/>
              </w:rPr>
              <w:t xml:space="preserve">Form factor</w:t>
            </w:r>
          </w:p>
        </w:tc>
        <w:tc>
          <w:tcPr>
            <w:tcW w:type="dxa" w:w="686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8"/>
                <w:szCs w:val="18"/>
              </w:rPr>
              <w:t xml:space="preserve">Reference architecture + Infrastructure-as-Code + pipelines + canonical data model + synthetic data + notebooks/agents + dashboards</w:t>
            </w:r>
          </w:p>
        </w:tc>
      </w:tr>
      <w:tr>
        <w:tc>
          <w:tcPr>
            <w:tcW w:type="dxa" w:w="25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bCs/>
                <w:sz w:val="18"/>
                <w:szCs w:val="18"/>
              </w:rPr>
              <w:t xml:space="preserve">Time-to-value</w:t>
            </w:r>
          </w:p>
        </w:tc>
        <w:tc>
          <w:tcPr>
            <w:tcW w:type="dxa" w:w="686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8"/>
                <w:szCs w:val="18"/>
              </w:rPr>
              <w:t xml:space="preserve">Foundation in ~2 weeks; first lighthouse use case demoable in ~4–6 weeks</w:t>
            </w:r>
          </w:p>
        </w:tc>
      </w:tr>
      <w:tr>
        <w:tc>
          <w:tcPr>
            <w:tcW w:type="dxa" w:w="25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bCs/>
                <w:sz w:val="18"/>
                <w:szCs w:val="18"/>
              </w:rPr>
              <w:t xml:space="preserve">Audience</w:t>
            </w:r>
          </w:p>
        </w:tc>
        <w:tc>
          <w:tcPr>
            <w:tcW w:type="dxa" w:w="686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8"/>
                <w:szCs w:val="18"/>
              </w:rPr>
              <w:t xml:space="preserve">Business buyers (claims, underwriting, actuarial, customer) and technical buyers (data, ML, architecture, governance)</w:t>
            </w:r>
          </w:p>
        </w:tc>
      </w:tr>
    </w:tbl>
    <w:p>
      <w:pPr>
        <w:pStyle w:val="Heading1"/>
        <w:pBdr>
          <w:bottom w:val="single" w:color="FF3621" w:sz="6" w:space="6"/>
        </w:pBdr>
      </w:pPr>
      <w:r>
        <w:t xml:space="preserve">2.  Why P&amp;C Insurance, and Why Now</w:t>
      </w:r>
    </w:p>
    <w:p>
      <w:pPr>
        <w:spacing w:after="140" w:line="276"/>
      </w:pPr>
      <w:r>
        <w:t xml:space="preserve">P&amp;C carriers are squeezed from several directions at once. Combined ratios remain under pressure as claims inflation drives up repair, medical and litigation costs; catastrophe frequency and severity are rising with a changing climate; and pricing adequacy is hard to maintain when loss trends move faster than rate filings. Fraud quietly erodes margin — industry estimates commonly put insurance fraud at roughly 10% of P&amp;C incurred losses. At the same time, customers expect digital, near-instant quoting and claims experiences, and carriers must do all of this with constrained talent and intensifying regulatory scrutiny of pricing fairness and model governance.</w:t>
      </w:r>
    </w:p>
    <w:p>
      <w:pPr>
        <w:spacing w:after="140" w:line="276"/>
      </w:pPr>
      <w:r>
        <w:t xml:space="preserve">The underlying obstacle is data. The information needed to respond lives in fragmented silos: policy administration systems (Guidewire, Duck Creek, or legacy mainframes), separate claims and billing platforms, telematics and IoT streams, third-party enrichment (Verisk, weather, credit, geospatial), and a vast volume of unstructured content — ACORD forms, adjuster notes, repair estimates, photos and FNOL call recordings. Traditional data warehouses handle the structured slice but struggle with documents, images and streaming, forcing carriers to bolt on separate systems for ML and real-time workloads.</w:t>
      </w:r>
    </w:p>
    <w:p>
      <w:pPr>
        <w:spacing w:after="140" w:line="276"/>
      </w:pPr>
      <w:r>
        <w:t xml:space="preserve">The Lakehouse resolves this structurally: it unifies structured, unstructured and streaming data on one open, governed copy that simultaneously serves BI, machine learning and generative AI — lowering total cost of ownership versus a warehouse plus separate ML and streaming stacks. What makes an end-to-end platform credible right now is the maturing of three capabilities on Databricks: generative AI for document intelligence and copilots; real-time decisioning via Lakebase and Spark real-time mode; and enterprise-grade governance through Unity Catalog. The window to package this into a repeatable insurance accelerator is open today.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8D0DA" w:sz="1"/>
              <w:left w:val="single" w:color="C8D0DA" w:sz="1"/>
              <w:bottom w:val="single" w:color="C8D0DA" w:sz="1"/>
              <w:right w:val="single" w:color="C8D0DA" w:sz="1"/>
            </w:tcBorders>
            <w:shd w:fill="152744" w:val="clear"/>
            <w:tcMar>
              <w:top w:type="dxa" w:w="60"/>
              <w:left w:type="dxa" w:w="110"/>
              <w:bottom w:type="dxa" w:w="60"/>
              <w:right w:type="dxa" w:w="110"/>
            </w:tcMar>
            <w:vAlign w:val="center"/>
          </w:tcPr>
          <w:p>
            <w:pPr>
              <w:spacing w:after="0" w:line="252"/>
            </w:pPr>
            <w:r>
              <w:rPr>
                <w:b/>
                <w:bCs/>
                <w:color w:val="FFFFFF"/>
                <w:sz w:val="18"/>
                <w:szCs w:val="18"/>
              </w:rPr>
              <w:t xml:space="preserve">Industry pressure</w:t>
            </w:r>
          </w:p>
        </w:tc>
        <w:tc>
          <w:tcPr>
            <w:tcW w:type="dxa" w:w="6360"/>
            <w:tcBorders>
              <w:top w:val="single" w:color="C8D0DA" w:sz="1"/>
              <w:left w:val="single" w:color="C8D0DA" w:sz="1"/>
              <w:bottom w:val="single" w:color="C8D0DA" w:sz="1"/>
              <w:right w:val="single" w:color="C8D0DA" w:sz="1"/>
            </w:tcBorders>
            <w:shd w:fill="152744" w:val="clear"/>
            <w:tcMar>
              <w:top w:type="dxa" w:w="60"/>
              <w:left w:type="dxa" w:w="110"/>
              <w:bottom w:type="dxa" w:w="60"/>
              <w:right w:type="dxa" w:w="110"/>
            </w:tcMar>
            <w:vAlign w:val="center"/>
          </w:tcPr>
          <w:p>
            <w:pPr>
              <w:spacing w:after="0" w:line="252"/>
            </w:pPr>
            <w:r>
              <w:rPr>
                <w:b/>
                <w:bCs/>
                <w:color w:val="FFFFFF"/>
                <w:sz w:val="18"/>
                <w:szCs w:val="18"/>
              </w:rPr>
              <w:t xml:space="preserve">What the data &amp; AI platform must do about it</w:t>
            </w:r>
          </w:p>
        </w:tc>
      </w:tr>
      <w:tr>
        <w:tc>
          <w:tcPr>
            <w:tcW w:type="dxa" w:w="30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bCs/>
                <w:sz w:val="18"/>
                <w:szCs w:val="18"/>
              </w:rPr>
              <w:t xml:space="preserve">Claims inflation &amp; severity</w:t>
            </w:r>
          </w:p>
        </w:tc>
        <w:tc>
          <w:tcPr>
            <w:tcW w:type="dxa" w:w="636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8"/>
                <w:szCs w:val="18"/>
              </w:rPr>
              <w:t xml:space="preserve">Predict severity early, automate simple claims, control loss-adjustment expense</w:t>
            </w:r>
          </w:p>
        </w:tc>
      </w:tr>
      <w:tr>
        <w:tc>
          <w:tcPr>
            <w:tcW w:type="dxa" w:w="30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bCs/>
                <w:sz w:val="18"/>
                <w:szCs w:val="18"/>
              </w:rPr>
              <w:t xml:space="preserve">Catastrophe &amp; climate risk</w:t>
            </w:r>
          </w:p>
        </w:tc>
        <w:tc>
          <w:tcPr>
            <w:tcW w:type="dxa" w:w="636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8"/>
                <w:szCs w:val="18"/>
              </w:rPr>
              <w:t xml:space="preserve">Model exposure accumulation; ingest weather/geospatial; stress-test the portfolio</w:t>
            </w:r>
          </w:p>
        </w:tc>
      </w:tr>
      <w:tr>
        <w:tc>
          <w:tcPr>
            <w:tcW w:type="dxa" w:w="30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bCs/>
                <w:sz w:val="18"/>
                <w:szCs w:val="18"/>
              </w:rPr>
              <w:t xml:space="preserve">Fraud leakage</w:t>
            </w:r>
          </w:p>
        </w:tc>
        <w:tc>
          <w:tcPr>
            <w:tcW w:type="dxa" w:w="636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8"/>
                <w:szCs w:val="18"/>
              </w:rPr>
              <w:t xml:space="preserve">Real-time scoring + network analytics to flag suspicious claims before payout</w:t>
            </w:r>
          </w:p>
        </w:tc>
      </w:tr>
      <w:tr>
        <w:tc>
          <w:tcPr>
            <w:tcW w:type="dxa" w:w="30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bCs/>
                <w:sz w:val="18"/>
                <w:szCs w:val="18"/>
              </w:rPr>
              <w:t xml:space="preserve">Pricing adequacy</w:t>
            </w:r>
          </w:p>
        </w:tc>
        <w:tc>
          <w:tcPr>
            <w:tcW w:type="dxa" w:w="636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8"/>
                <w:szCs w:val="18"/>
              </w:rPr>
              <w:t xml:space="preserve">Monitor rate vs. loss trend; enable telematics / usage-based pricing</w:t>
            </w:r>
          </w:p>
        </w:tc>
      </w:tr>
      <w:tr>
        <w:tc>
          <w:tcPr>
            <w:tcW w:type="dxa" w:w="30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bCs/>
                <w:sz w:val="18"/>
                <w:szCs w:val="18"/>
              </w:rPr>
              <w:t xml:space="preserve">Customer expectations</w:t>
            </w:r>
          </w:p>
        </w:tc>
        <w:tc>
          <w:tcPr>
            <w:tcW w:type="dxa" w:w="636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8"/>
                <w:szCs w:val="18"/>
              </w:rPr>
              <w:t xml:space="preserve">Faster quote-to-bind and claims; personalized, omnichannel engagement</w:t>
            </w:r>
          </w:p>
        </w:tc>
      </w:tr>
      <w:tr>
        <w:tc>
          <w:tcPr>
            <w:tcW w:type="dxa" w:w="30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bCs/>
                <w:sz w:val="18"/>
                <w:szCs w:val="18"/>
              </w:rPr>
              <w:t xml:space="preserve">Efficiency &amp; talent</w:t>
            </w:r>
          </w:p>
        </w:tc>
        <w:tc>
          <w:tcPr>
            <w:tcW w:type="dxa" w:w="636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8"/>
                <w:szCs w:val="18"/>
              </w:rPr>
              <w:t xml:space="preserve">GenAI copilots that augment adjusters and underwriters; straight-through processing</w:t>
            </w:r>
          </w:p>
        </w:tc>
      </w:tr>
      <w:tr>
        <w:tc>
          <w:tcPr>
            <w:tcW w:type="dxa" w:w="30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bCs/>
                <w:sz w:val="18"/>
                <w:szCs w:val="18"/>
              </w:rPr>
              <w:t xml:space="preserve">Regulatory scrutiny</w:t>
            </w:r>
          </w:p>
        </w:tc>
        <w:tc>
          <w:tcPr>
            <w:tcW w:type="dxa" w:w="636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8"/>
                <w:szCs w:val="18"/>
              </w:rPr>
              <w:t xml:space="preserve">Governed, explainable, auditable models and data lineage (NAIC model risk, fair pricing)</w:t>
            </w:r>
          </w:p>
        </w:tc>
      </w:tr>
    </w:tbl>
    <w:p>
      <w:pPr>
        <w:pStyle w:val="Heading1"/>
        <w:pBdr>
          <w:bottom w:val="single" w:color="FF3621" w:sz="6" w:space="6"/>
        </w:pBdr>
      </w:pPr>
      <w:r>
        <w:t xml:space="preserve">3.  Who We Are Building For</w:t>
      </w:r>
    </w:p>
    <w:p>
      <w:pPr>
        <w:spacing w:after="140" w:line="276"/>
      </w:pPr>
      <w:r>
        <w:t xml:space="preserve">Because the accelerator spans business outcomes and platform engineering, it must speak to two distinct buying centers. Business leaders care about loss ratio, cycle time, fraud leakage and customer experience; technical leaders care about consolidation, governance, model risk and cost. The accelerator is designed to give each persona a concrete reason to say yes.</w:t>
      </w:r>
    </w:p>
    <w:p>
      <w:pPr>
        <w:pStyle w:val="Heading3"/>
      </w:pPr>
      <w:r>
        <w:t xml:space="preserve">Business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160"/>
      </w:tblGrid>
      <w:tr>
        <w:trPr>
          <w:tblHeader/>
        </w:trPr>
        <w:tc>
          <w:tcPr>
            <w:tcW w:type="dxa" w:w="2500"/>
            <w:tcBorders>
              <w:top w:val="single" w:color="C8D0DA" w:sz="1"/>
              <w:left w:val="single" w:color="C8D0DA" w:sz="1"/>
              <w:bottom w:val="single" w:color="C8D0DA" w:sz="1"/>
              <w:right w:val="single" w:color="C8D0DA" w:sz="1"/>
            </w:tcBorders>
            <w:shd w:fill="152744" w:val="clear"/>
            <w:tcMar>
              <w:top w:type="dxa" w:w="60"/>
              <w:left w:type="dxa" w:w="110"/>
              <w:bottom w:type="dxa" w:w="60"/>
              <w:right w:type="dxa" w:w="110"/>
            </w:tcMar>
            <w:vAlign w:val="center"/>
          </w:tcPr>
          <w:p>
            <w:pPr>
              <w:spacing w:after="0" w:line="252"/>
            </w:pPr>
            <w:r>
              <w:rPr>
                <w:b/>
                <w:bCs/>
                <w:color w:val="FFFFFF"/>
                <w:sz w:val="17"/>
                <w:szCs w:val="17"/>
              </w:rPr>
              <w:t xml:space="preserve">Persona</w:t>
            </w:r>
          </w:p>
        </w:tc>
        <w:tc>
          <w:tcPr>
            <w:tcW w:type="dxa" w:w="3700"/>
            <w:tcBorders>
              <w:top w:val="single" w:color="C8D0DA" w:sz="1"/>
              <w:left w:val="single" w:color="C8D0DA" w:sz="1"/>
              <w:bottom w:val="single" w:color="C8D0DA" w:sz="1"/>
              <w:right w:val="single" w:color="C8D0DA" w:sz="1"/>
            </w:tcBorders>
            <w:shd w:fill="152744" w:val="clear"/>
            <w:tcMar>
              <w:top w:type="dxa" w:w="60"/>
              <w:left w:type="dxa" w:w="110"/>
              <w:bottom w:type="dxa" w:w="60"/>
              <w:right w:type="dxa" w:w="110"/>
            </w:tcMar>
            <w:vAlign w:val="center"/>
          </w:tcPr>
          <w:p>
            <w:pPr>
              <w:spacing w:after="0" w:line="252"/>
            </w:pPr>
            <w:r>
              <w:rPr>
                <w:b/>
                <w:bCs/>
                <w:color w:val="FFFFFF"/>
                <w:sz w:val="17"/>
                <w:szCs w:val="17"/>
              </w:rPr>
              <w:t xml:space="preserve">What keeps them up at night</w:t>
            </w:r>
          </w:p>
        </w:tc>
        <w:tc>
          <w:tcPr>
            <w:tcW w:type="dxa" w:w="3160"/>
            <w:tcBorders>
              <w:top w:val="single" w:color="C8D0DA" w:sz="1"/>
              <w:left w:val="single" w:color="C8D0DA" w:sz="1"/>
              <w:bottom w:val="single" w:color="C8D0DA" w:sz="1"/>
              <w:right w:val="single" w:color="C8D0DA" w:sz="1"/>
            </w:tcBorders>
            <w:shd w:fill="152744" w:val="clear"/>
            <w:tcMar>
              <w:top w:type="dxa" w:w="60"/>
              <w:left w:type="dxa" w:w="110"/>
              <w:bottom w:type="dxa" w:w="60"/>
              <w:right w:type="dxa" w:w="110"/>
            </w:tcMar>
            <w:vAlign w:val="center"/>
          </w:tcPr>
          <w:p>
            <w:pPr>
              <w:spacing w:after="0" w:line="252"/>
            </w:pPr>
            <w:r>
              <w:rPr>
                <w:b/>
                <w:bCs/>
                <w:color w:val="FFFFFF"/>
                <w:sz w:val="17"/>
                <w:szCs w:val="17"/>
              </w:rPr>
              <w:t xml:space="preserve">How InsureLake helps</w:t>
            </w:r>
          </w:p>
        </w:tc>
      </w:tr>
      <w:tr>
        <w:tc>
          <w:tcPr>
            <w:tcW w:type="dxa" w:w="25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bCs/>
                <w:sz w:val="17"/>
                <w:szCs w:val="17"/>
              </w:rPr>
              <w:t xml:space="preserve">Chief Claims Officer</w:t>
            </w:r>
          </w:p>
        </w:tc>
        <w:tc>
          <w:tcPr>
            <w:tcW w:type="dxa" w:w="37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Rising loss-adjustment expense, slow cycle times, inconsistent decisions</w:t>
            </w:r>
          </w:p>
        </w:tc>
        <w:tc>
          <w:tcPr>
            <w:tcW w:type="dxa" w:w="316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Straight-through processing, severity prediction, adjuster copilot</w:t>
            </w:r>
          </w:p>
        </w:tc>
      </w:tr>
      <w:tr>
        <w:tc>
          <w:tcPr>
            <w:tcW w:type="dxa" w:w="25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bCs/>
                <w:sz w:val="17"/>
                <w:szCs w:val="17"/>
              </w:rPr>
              <w:t xml:space="preserve">Chief Underwriting Officer</w:t>
            </w:r>
          </w:p>
        </w:tc>
        <w:tc>
          <w:tcPr>
            <w:tcW w:type="dxa" w:w="37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7"/>
                <w:szCs w:val="17"/>
              </w:rPr>
              <w:t xml:space="preserve">Risk selection, submission volume, leakage from manual review</w:t>
            </w:r>
          </w:p>
        </w:tc>
        <w:tc>
          <w:tcPr>
            <w:tcW w:type="dxa" w:w="316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7"/>
                <w:szCs w:val="17"/>
              </w:rPr>
              <w:t xml:space="preserve">Automated triage, submission intake, portfolio &amp; cat accumulation views</w:t>
            </w:r>
          </w:p>
        </w:tc>
      </w:tr>
      <w:tr>
        <w:tc>
          <w:tcPr>
            <w:tcW w:type="dxa" w:w="25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bCs/>
                <w:sz w:val="17"/>
                <w:szCs w:val="17"/>
              </w:rPr>
              <w:t xml:space="preserve">Chief Actuary / Pricing</w:t>
            </w:r>
          </w:p>
        </w:tc>
        <w:tc>
          <w:tcPr>
            <w:tcW w:type="dxa" w:w="37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Rate adequacy, reserve accuracy, slow analytical cycles</w:t>
            </w:r>
          </w:p>
        </w:tc>
        <w:tc>
          <w:tcPr>
            <w:tcW w:type="dxa" w:w="316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Loss-triangle automation, rate-vs-trend monitoring, governed data</w:t>
            </w:r>
          </w:p>
        </w:tc>
      </w:tr>
      <w:tr>
        <w:tc>
          <w:tcPr>
            <w:tcW w:type="dxa" w:w="25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bCs/>
                <w:sz w:val="17"/>
                <w:szCs w:val="17"/>
              </w:rPr>
              <w:t xml:space="preserve">Head of SIU / Fraud</w:t>
            </w:r>
          </w:p>
        </w:tc>
        <w:tc>
          <w:tcPr>
            <w:tcW w:type="dxa" w:w="37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7"/>
                <w:szCs w:val="17"/>
              </w:rPr>
              <w:t xml:space="preserve">Fraud paid before detection, too many false positives</w:t>
            </w:r>
          </w:p>
        </w:tc>
        <w:tc>
          <w:tcPr>
            <w:tcW w:type="dxa" w:w="316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7"/>
                <w:szCs w:val="17"/>
              </w:rPr>
              <w:t xml:space="preserve">Real-time scoring + network analytics with explainable alerts</w:t>
            </w:r>
          </w:p>
        </w:tc>
      </w:tr>
      <w:tr>
        <w:tc>
          <w:tcPr>
            <w:tcW w:type="dxa" w:w="25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bCs/>
                <w:sz w:val="17"/>
                <w:szCs w:val="17"/>
              </w:rPr>
              <w:t xml:space="preserve">CMO / Distribution</w:t>
            </w:r>
          </w:p>
        </w:tc>
        <w:tc>
          <w:tcPr>
            <w:tcW w:type="dxa" w:w="37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Churn, thin personalization, uneven agent performance</w:t>
            </w:r>
          </w:p>
        </w:tc>
        <w:tc>
          <w:tcPr>
            <w:tcW w:type="dxa" w:w="316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Customer 360, churn &amp; next-best-action, distribution analytics</w:t>
            </w:r>
          </w:p>
        </w:tc>
      </w:tr>
      <w:tr>
        <w:tc>
          <w:tcPr>
            <w:tcW w:type="dxa" w:w="25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bCs/>
                <w:sz w:val="17"/>
                <w:szCs w:val="17"/>
              </w:rPr>
              <w:t xml:space="preserve">CFO / COO</w:t>
            </w:r>
          </w:p>
        </w:tc>
        <w:tc>
          <w:tcPr>
            <w:tcW w:type="dxa" w:w="37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7"/>
                <w:szCs w:val="17"/>
              </w:rPr>
              <w:t xml:space="preserve">Combined-ratio pressure, fragmented tech spend</w:t>
            </w:r>
          </w:p>
        </w:tc>
        <w:tc>
          <w:tcPr>
            <w:tcW w:type="dxa" w:w="316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7"/>
                <w:szCs w:val="17"/>
              </w:rPr>
              <w:t xml:space="preserve">Lower TCO on one platform; measurable operational savings</w:t>
            </w:r>
          </w:p>
        </w:tc>
      </w:tr>
    </w:tbl>
    <w:p>
      <w:pPr>
        <w:spacing w:after="100"/>
      </w:pPr>
    </w:p>
    <w:p>
      <w:pPr>
        <w:pStyle w:val="Heading3"/>
      </w:pPr>
      <w:r>
        <w:t xml:space="preserve">Technical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160"/>
      </w:tblGrid>
      <w:tr>
        <w:trPr>
          <w:tblHeader/>
        </w:trPr>
        <w:tc>
          <w:tcPr>
            <w:tcW w:type="dxa" w:w="2500"/>
            <w:tcBorders>
              <w:top w:val="single" w:color="C8D0DA" w:sz="1"/>
              <w:left w:val="single" w:color="C8D0DA" w:sz="1"/>
              <w:bottom w:val="single" w:color="C8D0DA" w:sz="1"/>
              <w:right w:val="single" w:color="C8D0DA" w:sz="1"/>
            </w:tcBorders>
            <w:shd w:fill="152744" w:val="clear"/>
            <w:tcMar>
              <w:top w:type="dxa" w:w="60"/>
              <w:left w:type="dxa" w:w="110"/>
              <w:bottom w:type="dxa" w:w="60"/>
              <w:right w:type="dxa" w:w="110"/>
            </w:tcMar>
            <w:vAlign w:val="center"/>
          </w:tcPr>
          <w:p>
            <w:pPr>
              <w:spacing w:after="0" w:line="252"/>
            </w:pPr>
            <w:r>
              <w:rPr>
                <w:b/>
                <w:bCs/>
                <w:color w:val="FFFFFF"/>
                <w:sz w:val="17"/>
                <w:szCs w:val="17"/>
              </w:rPr>
              <w:t xml:space="preserve">Persona</w:t>
            </w:r>
          </w:p>
        </w:tc>
        <w:tc>
          <w:tcPr>
            <w:tcW w:type="dxa" w:w="3700"/>
            <w:tcBorders>
              <w:top w:val="single" w:color="C8D0DA" w:sz="1"/>
              <w:left w:val="single" w:color="C8D0DA" w:sz="1"/>
              <w:bottom w:val="single" w:color="C8D0DA" w:sz="1"/>
              <w:right w:val="single" w:color="C8D0DA" w:sz="1"/>
            </w:tcBorders>
            <w:shd w:fill="152744" w:val="clear"/>
            <w:tcMar>
              <w:top w:type="dxa" w:w="60"/>
              <w:left w:type="dxa" w:w="110"/>
              <w:bottom w:type="dxa" w:w="60"/>
              <w:right w:type="dxa" w:w="110"/>
            </w:tcMar>
            <w:vAlign w:val="center"/>
          </w:tcPr>
          <w:p>
            <w:pPr>
              <w:spacing w:after="0" w:line="252"/>
            </w:pPr>
            <w:r>
              <w:rPr>
                <w:b/>
                <w:bCs/>
                <w:color w:val="FFFFFF"/>
                <w:sz w:val="17"/>
                <w:szCs w:val="17"/>
              </w:rPr>
              <w:t xml:space="preserve">What keeps them up at night</w:t>
            </w:r>
          </w:p>
        </w:tc>
        <w:tc>
          <w:tcPr>
            <w:tcW w:type="dxa" w:w="3160"/>
            <w:tcBorders>
              <w:top w:val="single" w:color="C8D0DA" w:sz="1"/>
              <w:left w:val="single" w:color="C8D0DA" w:sz="1"/>
              <w:bottom w:val="single" w:color="C8D0DA" w:sz="1"/>
              <w:right w:val="single" w:color="C8D0DA" w:sz="1"/>
            </w:tcBorders>
            <w:shd w:fill="152744" w:val="clear"/>
            <w:tcMar>
              <w:top w:type="dxa" w:w="60"/>
              <w:left w:type="dxa" w:w="110"/>
              <w:bottom w:type="dxa" w:w="60"/>
              <w:right w:type="dxa" w:w="110"/>
            </w:tcMar>
            <w:vAlign w:val="center"/>
          </w:tcPr>
          <w:p>
            <w:pPr>
              <w:spacing w:after="0" w:line="252"/>
            </w:pPr>
            <w:r>
              <w:rPr>
                <w:b/>
                <w:bCs/>
                <w:color w:val="FFFFFF"/>
                <w:sz w:val="17"/>
                <w:szCs w:val="17"/>
              </w:rPr>
              <w:t xml:space="preserve">How InsureLake helps</w:t>
            </w:r>
          </w:p>
        </w:tc>
      </w:tr>
      <w:tr>
        <w:tc>
          <w:tcPr>
            <w:tcW w:type="dxa" w:w="25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bCs/>
                <w:sz w:val="17"/>
                <w:szCs w:val="17"/>
              </w:rPr>
              <w:t xml:space="preserve">CDO / Chief Data &amp; Analytics</w:t>
            </w:r>
          </w:p>
        </w:tc>
        <w:tc>
          <w:tcPr>
            <w:tcW w:type="dxa" w:w="37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Silos, slow time-to-insight, no single source of truth</w:t>
            </w:r>
          </w:p>
        </w:tc>
        <w:tc>
          <w:tcPr>
            <w:tcW w:type="dxa" w:w="316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Governed medallion foundation with a P&amp;C canonical model</w:t>
            </w:r>
          </w:p>
        </w:tc>
      </w:tr>
      <w:tr>
        <w:tc>
          <w:tcPr>
            <w:tcW w:type="dxa" w:w="25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bCs/>
                <w:sz w:val="17"/>
                <w:szCs w:val="17"/>
              </w:rPr>
              <w:t xml:space="preserve">VP Data Engineering</w:t>
            </w:r>
          </w:p>
        </w:tc>
        <w:tc>
          <w:tcPr>
            <w:tcW w:type="dxa" w:w="37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7"/>
                <w:szCs w:val="17"/>
              </w:rPr>
              <w:t xml:space="preserve">Brittle pipelines, batch + streaming sprawl, legacy CDC</w:t>
            </w:r>
          </w:p>
        </w:tc>
        <w:tc>
          <w:tcPr>
            <w:tcW w:type="dxa" w:w="316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7"/>
                <w:szCs w:val="17"/>
              </w:rPr>
              <w:t xml:space="preserve">Declarative pipelines, Lakeflow Connect ingestion, IaC</w:t>
            </w:r>
          </w:p>
        </w:tc>
      </w:tr>
      <w:tr>
        <w:tc>
          <w:tcPr>
            <w:tcW w:type="dxa" w:w="25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bCs/>
                <w:sz w:val="17"/>
                <w:szCs w:val="17"/>
              </w:rPr>
              <w:t xml:space="preserve">Head of Data Science / ML</w:t>
            </w:r>
          </w:p>
        </w:tc>
        <w:tc>
          <w:tcPr>
            <w:tcW w:type="dxa" w:w="37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Slow path to production, no MLOps, model sprawl</w:t>
            </w:r>
          </w:p>
        </w:tc>
        <w:tc>
          <w:tcPr>
            <w:tcW w:type="dxa" w:w="316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Mosaic AI: feature store, serving, MLflow lifecycle &amp; evaluation</w:t>
            </w:r>
          </w:p>
        </w:tc>
      </w:tr>
      <w:tr>
        <w:tc>
          <w:tcPr>
            <w:tcW w:type="dxa" w:w="25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bCs/>
                <w:sz w:val="17"/>
                <w:szCs w:val="17"/>
              </w:rPr>
              <w:t xml:space="preserve">Enterprise / Solution Architect</w:t>
            </w:r>
          </w:p>
        </w:tc>
        <w:tc>
          <w:tcPr>
            <w:tcW w:type="dxa" w:w="37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7"/>
                <w:szCs w:val="17"/>
              </w:rPr>
              <w:t xml:space="preserve">Lock-in, multi-cloud, integration with core systems</w:t>
            </w:r>
          </w:p>
        </w:tc>
        <w:tc>
          <w:tcPr>
            <w:tcW w:type="dxa" w:w="316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7"/>
                <w:szCs w:val="17"/>
              </w:rPr>
              <w:t xml:space="preserve">Open formats, cloud-agnostic blueprint, reference patterns</w:t>
            </w:r>
          </w:p>
        </w:tc>
      </w:tr>
      <w:tr>
        <w:tc>
          <w:tcPr>
            <w:tcW w:type="dxa" w:w="25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bCs/>
                <w:sz w:val="17"/>
                <w:szCs w:val="17"/>
              </w:rPr>
              <w:t xml:space="preserve">CISO / Data Governance</w:t>
            </w:r>
          </w:p>
        </w:tc>
        <w:tc>
          <w:tcPr>
            <w:tcW w:type="dxa" w:w="37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PII exposure, audit, model &amp; regulatory risk</w:t>
            </w:r>
          </w:p>
        </w:tc>
        <w:tc>
          <w:tcPr>
            <w:tcW w:type="dxa" w:w="316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Unity Catalog access control, masking, lineage, audit, model governance</w:t>
            </w:r>
          </w:p>
        </w:tc>
      </w:tr>
    </w:tbl>
    <w:p>
      <w:pPr>
        <w:pStyle w:val="Heading1"/>
        <w:pBdr>
          <w:bottom w:val="single" w:color="FF3621" w:sz="6" w:space="6"/>
        </w:pBdr>
      </w:pPr>
      <w:r>
        <w:t xml:space="preserve">4.  The Accelerator Concept &amp; Design Principles</w:t>
      </w:r>
    </w:p>
    <w:p>
      <w:pPr>
        <w:spacing w:after="140" w:line="276"/>
      </w:pPr>
      <w:r>
        <w:t xml:space="preserve">InsureLake is structured as a </w:t>
      </w:r>
      <w:r>
        <w:rPr>
          <w:b/>
          <w:bCs/>
        </w:rPr>
        <w:t xml:space="preserve">foundation plus pluggable domain packs</w:t>
      </w:r>
      <w:r>
        <w:t xml:space="preserve">. The foundation provides governed ingestion, the medallion lakehouse, the P&amp;C canonical data model and the platform plumbing (security, MLOps, orchestration). On top of it sit modular use-case packs — Claims, Underwriting &amp; Pricing, Customer &amp; Distribution, and Finance / Actuarial &amp; Risk — each shipping its own pipelines, models, agents and dashboards. A customer can start with one pack and add others without re-platforming.</w:t>
      </w:r>
    </w:p>
    <w:p>
      <w:pPr>
        <w:pStyle w:val="Heading3"/>
      </w:pPr>
      <w:r>
        <w:t xml:space="preserve">Design principles</w:t>
      </w:r>
    </w:p>
    <w:p>
      <w:pPr>
        <w:pStyle w:val="ListParagraph"/>
        <w:numPr>
          <w:ilvl w:val="0"/>
          <w:numId w:val="2"/>
        </w:numPr>
        <w:spacing w:after="60" w:line="264"/>
      </w:pPr>
      <w:r>
        <w:rPr>
          <w:b/>
          <w:bCs/>
        </w:rPr>
        <w:t xml:space="preserve">Industry-specific, not generic — </w:t>
      </w:r>
      <w:r>
        <w:t xml:space="preserve">ships a P&amp;C data model, KPIs, sample data and use cases out of the box, so demos speak the customer's language on day one.</w:t>
      </w:r>
    </w:p>
    <w:p>
      <w:pPr>
        <w:pStyle w:val="ListParagraph"/>
        <w:numPr>
          <w:ilvl w:val="0"/>
          <w:numId w:val="2"/>
        </w:numPr>
        <w:spacing w:after="60" w:line="264"/>
      </w:pPr>
      <w:r>
        <w:rPr>
          <w:b/>
          <w:bCs/>
        </w:rPr>
        <w:t xml:space="preserve">Lakehouse-native — </w:t>
      </w:r>
      <w:r>
        <w:t xml:space="preserve">one governed platform serving BI, ML and GenAI on a single copy of the data; no separate warehouse, ML and streaming silos.</w:t>
      </w:r>
    </w:p>
    <w:p>
      <w:pPr>
        <w:pStyle w:val="ListParagraph"/>
        <w:numPr>
          <w:ilvl w:val="0"/>
          <w:numId w:val="2"/>
        </w:numPr>
        <w:spacing w:after="60" w:line="264"/>
      </w:pPr>
      <w:r>
        <w:rPr>
          <w:b/>
          <w:bCs/>
        </w:rPr>
        <w:t xml:space="preserve">Modular &amp; composable — </w:t>
      </w:r>
      <w:r>
        <w:t xml:space="preserve">foundation plus independent use-case packs; adopt incrementally, scale by domain.</w:t>
      </w:r>
    </w:p>
    <w:p>
      <w:pPr>
        <w:pStyle w:val="ListParagraph"/>
        <w:numPr>
          <w:ilvl w:val="0"/>
          <w:numId w:val="2"/>
        </w:numPr>
        <w:spacing w:after="60" w:line="264"/>
      </w:pPr>
      <w:r>
        <w:rPr>
          <w:b/>
          <w:bCs/>
        </w:rPr>
        <w:t xml:space="preserve">Open &amp; portable — </w:t>
      </w:r>
      <w:r>
        <w:t xml:space="preserve">Delta / open table formats and cloud-agnostic deployment across AWS, Azure and GCP; no proprietary lock-in.</w:t>
      </w:r>
    </w:p>
    <w:p>
      <w:pPr>
        <w:pStyle w:val="ListParagraph"/>
        <w:numPr>
          <w:ilvl w:val="0"/>
          <w:numId w:val="2"/>
        </w:numPr>
        <w:spacing w:after="60" w:line="264"/>
      </w:pPr>
      <w:r>
        <w:rPr>
          <w:b/>
          <w:bCs/>
        </w:rPr>
        <w:t xml:space="preserve">Governed &amp; compliant by design — </w:t>
      </w:r>
      <w:r>
        <w:t xml:space="preserve">Unity Catalog access control, masking, lineage and model governance are wired in from the start, not retrofitted.</w:t>
      </w:r>
    </w:p>
    <w:p>
      <w:pPr>
        <w:pStyle w:val="ListParagraph"/>
        <w:numPr>
          <w:ilvl w:val="0"/>
          <w:numId w:val="2"/>
        </w:numPr>
        <w:spacing w:after="60" w:line="264"/>
      </w:pPr>
      <w:r>
        <w:rPr>
          <w:b/>
          <w:bCs/>
        </w:rPr>
        <w:t xml:space="preserve">AI-first — </w:t>
      </w:r>
      <w:r>
        <w:t xml:space="preserve">machine learning and generative AI are embedded in the business workflow (triage, copilots, decisioning), not bolted on as side projects.</w:t>
      </w:r>
    </w:p>
    <w:p>
      <w:pPr>
        <w:pStyle w:val="ListParagraph"/>
        <w:numPr>
          <w:ilvl w:val="0"/>
          <w:numId w:val="2"/>
        </w:numPr>
        <w:spacing w:after="60" w:line="264"/>
      </w:pPr>
      <w:r>
        <w:rPr>
          <w:b/>
          <w:bCs/>
        </w:rPr>
        <w:t xml:space="preserve">Production-grade — </w:t>
      </w:r>
      <w:r>
        <w:t xml:space="preserve">Infrastructure-as-Code, CI/CD and MLOps templates make it a path to production, not just a throwaway demo.</w:t>
      </w:r>
    </w:p>
    <w:p>
      <w:pPr>
        <w:pStyle w:val="ListParagraph"/>
        <w:numPr>
          <w:ilvl w:val="0"/>
          <w:numId w:val="2"/>
        </w:numPr>
        <w:spacing w:after="60" w:line="264"/>
      </w:pPr>
      <w:r>
        <w:rPr>
          <w:b/>
          <w:bCs/>
        </w:rPr>
        <w:t xml:space="preserve">Fast time-to-value — </w:t>
      </w:r>
      <w:r>
        <w:t xml:space="preserve">a synthetic P&amp;C dataset and pre-built assets make it demoable immediately and deployable in weeks.</w:t>
      </w:r>
    </w:p>
    <w:p>
      <w:pPr>
        <w:pStyle w:val="Heading1"/>
        <w:pBdr>
          <w:bottom w:val="single" w:color="FF3621" w:sz="6" w:space="6"/>
        </w:pBdr>
      </w:pPr>
      <w:r>
        <w:t xml:space="preserve">5.  Solution Architecture</w:t>
      </w:r>
    </w:p>
    <w:p>
      <w:pPr>
        <w:spacing w:after="140" w:line="276"/>
      </w:pPr>
      <w:r>
        <w:t xml:space="preserve">The reference architecture follows a classic medallion design on Databricks, with governed ingestion on the left, progressively refined data in the middle, and an AI-and-consumption layer on the right. Orchestration and DevOps sit above the flow; Unity Catalog governs everything beneath it. The same governed data serves dashboards, ML models, GenAI agents and real-time decisions.</w:t>
      </w:r>
    </w:p>
    <w:p>
      <w:pPr>
        <w:spacing w:after="60" w:before="80"/>
        <w:jc w:val="center"/>
      </w:pPr>
      <w:r>
        <w:drawing>
          <wp:inline distT="0" distB="0" distL="0" distR="0">
            <wp:extent cx="6057900" cy="3409950"/>
            <wp:effectExtent t="0" r="0" b="0" l="0"/>
            <wp:docPr id="1" name="architecture" descr="Layered Databricks Lakehouse reference architecture for P&amp;C insurance: sources, ingestion, medallion, AI and consumption, governed by Unity Catalog." title="InsureLake P&amp;C Lakehouse referenc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57900" cy="3409950"/>
                    </a:xfrm>
                    <a:prstGeom prst="rect">
                      <a:avLst/>
                    </a:prstGeom>
                  </pic:spPr>
                </pic:pic>
              </a:graphicData>
            </a:graphic>
          </wp:inline>
        </w:drawing>
      </w:r>
    </w:p>
    <w:p>
      <w:pPr>
        <w:spacing w:after="200"/>
        <w:jc w:val="center"/>
      </w:pPr>
      <w:r>
        <w:rPr>
          <w:i/>
          <w:iCs/>
          <w:color w:val="7A8696"/>
          <w:sz w:val="16"/>
          <w:szCs w:val="16"/>
        </w:rPr>
        <w:t xml:space="preserve">Figure 1 — InsureLake reference architecture on the Databricks Data Intelligence Platform.</w:t>
      </w:r>
    </w:p>
    <w:p>
      <w:pPr>
        <w:pStyle w:val="Heading3"/>
      </w:pPr>
      <w:r>
        <w:t xml:space="preserve">5.1  Sources &amp; ingestion</w:t>
      </w:r>
    </w:p>
    <w:p>
      <w:pPr>
        <w:spacing w:after="140" w:line="276"/>
      </w:pPr>
      <w:r>
        <w:t xml:space="preserve">Lakeflow Connect provides managed, change-data-capture ingestion from core systems and databases (policy administration, claims, billing), with lineage automatically recorded in Unity Catalog. Auto Loader incrementally ingests files landing in cloud storage, while Structured Streaming and Spark real-time mode handle telematics, IoT and event streams for low-latency use cases. Unstructured content — ACORD forms, PDFs, photos and call recordings — is landed and processed for downstream document intelligence.</w:t>
      </w:r>
    </w:p>
    <w:p>
      <w:pPr>
        <w:pStyle w:val="Heading3"/>
      </w:pPr>
      <w:r>
        <w:t xml:space="preserve">5.2  Medallion lakehouse &amp; the P&amp;C canonical data model</w:t>
      </w:r>
    </w:p>
    <w:p>
      <w:pPr>
        <w:spacing w:after="140" w:line="276"/>
      </w:pPr>
      <w:r>
        <w:t xml:space="preserve">Bronze captures raw, immutable, fully historized source data. Silver cleanses, conforms and entity-resolves it into a P&amp;C canonical model aligned to industry standards such as ACORD — organized around the core insurance entities of party, policy, coverage, claim, payment and loss. Gold exposes business-level marts and feature tables: a Claims mart, an Underwriting &amp; Policy mart, Customer 360, fraud features and actuarial loss triangles. Lakeflow Spark Declarative Pipelines drive the transformations with built-in data-quality expectations across both batch and streaming.</w:t>
      </w:r>
    </w:p>
    <w:p>
      <w:pPr>
        <w:pStyle w:val="Heading3"/>
      </w:pPr>
      <w:r>
        <w:t xml:space="preserve">5.3  Machine learning with Mosaic AI</w:t>
      </w:r>
    </w:p>
    <w:p>
      <w:pPr>
        <w:spacing w:after="140" w:line="276"/>
      </w:pPr>
      <w:r>
        <w:t xml:space="preserve">Mosaic AI provides the ML backbone: feature engineering and a feature store, AutoML for rapid baselines, and Model Serving for low-latency inference. MLflow manages the full model lifecycle — tracking, registry, evaluation and monitoring — with model governance registered in Unity Catalog so every model is versioned, lineage-tracked and auditable. This is what makes fraud, severity, churn and underwriting models production-grade rather than notebook experiments.</w:t>
      </w:r>
    </w:p>
    <w:p>
      <w:pPr>
        <w:pStyle w:val="Heading3"/>
      </w:pPr>
      <w:r>
        <w:t xml:space="preserve">5.4  Generative AI &amp; agents</w:t>
      </w:r>
    </w:p>
    <w:p>
      <w:pPr>
        <w:spacing w:after="140" w:line="276"/>
      </w:pPr>
      <w:r>
        <w:t xml:space="preserve">Vector Search plus the Mosaic AI Agent Framework (and Agent Bricks) power retrieval-augmented and agentic applications: document intelligence that extracts structured data from ACORD forms and estimates; a claims adjuster copilot that summarizes files and recommends next-best actions; an underwriting submission assistant; and policy/coverage question-answering over governed documents. Agents are logged, evaluated and governed through MLflow and Unity Catalog.</w:t>
      </w:r>
    </w:p>
    <w:p>
      <w:pPr>
        <w:pStyle w:val="Heading3"/>
      </w:pPr>
      <w:r>
        <w:t xml:space="preserve">5.5  Real-time &amp; operational serving (Lakebase)</w:t>
      </w:r>
    </w:p>
    <w:p>
      <w:pPr>
        <w:spacing w:after="140" w:line="276"/>
      </w:pPr>
      <w:r>
        <w:t xml:space="preserve">Lakebase, a serverless Postgres-compatible operational database integrated into the Lakehouse, serves features and decisions at low latency and holds agent state. Combined with Spark real-time mode, it enables sub-second interventions — for example, scoring a suspicious claim or transaction before payout — without standing up separate operational infrastructure.</w:t>
      </w:r>
    </w:p>
    <w:p>
      <w:pPr>
        <w:pStyle w:val="Heading3"/>
      </w:pPr>
      <w:r>
        <w:t xml:space="preserve">5.6  Consumption &amp; sharing</w:t>
      </w:r>
    </w:p>
    <w:p>
      <w:pPr>
        <w:spacing w:after="140" w:line="276"/>
      </w:pPr>
      <w:r>
        <w:t xml:space="preserve">Business users consume insights through Databricks SQL and AI/BI Dashboards, ask questions in natural language via AI/BI Genie (including Genie in Slack), and connect existing BI tools such as Power BI and Tableau. Delta Sharing and Clean Rooms enable secure, governed data collaboration with reinsurers, brokers and partners without copying data.</w:t>
      </w:r>
    </w:p>
    <w:p>
      <w:pPr>
        <w:pStyle w:val="Heading3"/>
      </w:pPr>
      <w:r>
        <w:t xml:space="preserve">5.7  Governance &amp; security (Unity Catalog)</w:t>
      </w:r>
    </w:p>
    <w:p>
      <w:pPr>
        <w:spacing w:after="140" w:line="276"/>
      </w:pPr>
      <w:r>
        <w:t xml:space="preserve">Unity Catalog is the single governance plane across data and AI: fine-grained access control, row- and column-level masking, end-to-end lineage (including external lineage to upstream sources and downstream BI), audit, tags and a business glossary, plus model governance. This is the control layer that lets regulated insurers adopt AI with confidence and satisfy NAIC model-risk, GDPR/CCPA and internal audit requirements.</w:t>
      </w:r>
    </w:p>
    <w:p>
      <w:pPr>
        <w:pStyle w:val="Heading3"/>
      </w:pPr>
      <w:r>
        <w:t xml:space="preserve">5.8  Orchestration, IaC &amp; MLOps</w:t>
      </w:r>
    </w:p>
    <w:p>
      <w:pPr>
        <w:spacing w:after="140" w:line="276"/>
      </w:pPr>
      <w:r>
        <w:t xml:space="preserve">Lakeflow Jobs and Workflows orchestrate pipelines and model runs. Databricks Asset Bundles express the whole environment as Infrastructure-as-Code for repeatable deployment and promotion across dev, test and production, with CI/CD wiring and MLflow-based MLOps. This is what makes the accelerator deployable in weeks and maintainable thereafter.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8D0DA" w:sz="1"/>
              <w:left w:val="single" w:color="C8D0DA" w:sz="1"/>
              <w:bottom w:val="single" w:color="C8D0DA" w:sz="1"/>
              <w:right w:val="single" w:color="C8D0DA" w:sz="1"/>
            </w:tcBorders>
            <w:shd w:fill="152744" w:val="clear"/>
            <w:tcMar>
              <w:top w:type="dxa" w:w="60"/>
              <w:left w:type="dxa" w:w="110"/>
              <w:bottom w:type="dxa" w:w="60"/>
              <w:right w:type="dxa" w:w="110"/>
            </w:tcMar>
            <w:vAlign w:val="center"/>
          </w:tcPr>
          <w:p>
            <w:pPr>
              <w:spacing w:after="0" w:line="252"/>
            </w:pPr>
            <w:r>
              <w:rPr>
                <w:b/>
                <w:bCs/>
                <w:color w:val="FFFFFF"/>
                <w:sz w:val="18"/>
                <w:szCs w:val="18"/>
              </w:rPr>
              <w:t xml:space="preserve">Capability</w:t>
            </w:r>
          </w:p>
        </w:tc>
        <w:tc>
          <w:tcPr>
            <w:tcW w:type="dxa" w:w="6160"/>
            <w:tcBorders>
              <w:top w:val="single" w:color="C8D0DA" w:sz="1"/>
              <w:left w:val="single" w:color="C8D0DA" w:sz="1"/>
              <w:bottom w:val="single" w:color="C8D0DA" w:sz="1"/>
              <w:right w:val="single" w:color="C8D0DA" w:sz="1"/>
            </w:tcBorders>
            <w:shd w:fill="152744" w:val="clear"/>
            <w:tcMar>
              <w:top w:type="dxa" w:w="60"/>
              <w:left w:type="dxa" w:w="110"/>
              <w:bottom w:type="dxa" w:w="60"/>
              <w:right w:type="dxa" w:w="110"/>
            </w:tcMar>
            <w:vAlign w:val="center"/>
          </w:tcPr>
          <w:p>
            <w:pPr>
              <w:spacing w:after="0" w:line="252"/>
            </w:pPr>
            <w:r>
              <w:rPr>
                <w:b/>
                <w:bCs/>
                <w:color w:val="FFFFFF"/>
                <w:sz w:val="18"/>
                <w:szCs w:val="18"/>
              </w:rPr>
              <w:t xml:space="preserve">Databricks component</w:t>
            </w:r>
          </w:p>
        </w:tc>
      </w:tr>
      <w:tr>
        <w:tc>
          <w:tcPr>
            <w:tcW w:type="dxa" w:w="32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bCs/>
                <w:sz w:val="18"/>
                <w:szCs w:val="18"/>
              </w:rPr>
              <w:t xml:space="preserve">Ingestion (CDC, files, streaming)</w:t>
            </w:r>
          </w:p>
        </w:tc>
        <w:tc>
          <w:tcPr>
            <w:tcW w:type="dxa" w:w="616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8"/>
                <w:szCs w:val="18"/>
              </w:rPr>
              <w:t xml:space="preserve">Lakeflow Connect, Auto Loader, Structured Streaming / real-time mode</w:t>
            </w:r>
          </w:p>
        </w:tc>
      </w:tr>
      <w:tr>
        <w:tc>
          <w:tcPr>
            <w:tcW w:type="dxa" w:w="32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bCs/>
                <w:sz w:val="18"/>
                <w:szCs w:val="18"/>
              </w:rPr>
              <w:t xml:space="preserve">Transformation &amp; data quality</w:t>
            </w:r>
          </w:p>
        </w:tc>
        <w:tc>
          <w:tcPr>
            <w:tcW w:type="dxa" w:w="616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8"/>
                <w:szCs w:val="18"/>
              </w:rPr>
              <w:t xml:space="preserve">Lakeflow Spark Declarative Pipelines, Delta Lake</w:t>
            </w:r>
          </w:p>
        </w:tc>
      </w:tr>
      <w:tr>
        <w:tc>
          <w:tcPr>
            <w:tcW w:type="dxa" w:w="32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bCs/>
                <w:sz w:val="18"/>
                <w:szCs w:val="18"/>
              </w:rPr>
              <w:t xml:space="preserve">ML platform &amp; MLOps</w:t>
            </w:r>
          </w:p>
        </w:tc>
        <w:tc>
          <w:tcPr>
            <w:tcW w:type="dxa" w:w="616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8"/>
                <w:szCs w:val="18"/>
              </w:rPr>
              <w:t xml:space="preserve">Mosaic AI (Feature Store, AutoML, Model Serving), MLflow</w:t>
            </w:r>
          </w:p>
        </w:tc>
      </w:tr>
      <w:tr>
        <w:tc>
          <w:tcPr>
            <w:tcW w:type="dxa" w:w="32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bCs/>
                <w:sz w:val="18"/>
                <w:szCs w:val="18"/>
              </w:rPr>
              <w:t xml:space="preserve">GenAI &amp; agents</w:t>
            </w:r>
          </w:p>
        </w:tc>
        <w:tc>
          <w:tcPr>
            <w:tcW w:type="dxa" w:w="616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8"/>
                <w:szCs w:val="18"/>
              </w:rPr>
              <w:t xml:space="preserve">Vector Search, Mosaic AI Agent Framework / Agent Bricks</w:t>
            </w:r>
          </w:p>
        </w:tc>
      </w:tr>
      <w:tr>
        <w:tc>
          <w:tcPr>
            <w:tcW w:type="dxa" w:w="32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bCs/>
                <w:sz w:val="18"/>
                <w:szCs w:val="18"/>
              </w:rPr>
              <w:t xml:space="preserve">Real-time / operational</w:t>
            </w:r>
          </w:p>
        </w:tc>
        <w:tc>
          <w:tcPr>
            <w:tcW w:type="dxa" w:w="616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8"/>
                <w:szCs w:val="18"/>
              </w:rPr>
              <w:t xml:space="preserve">Lakebase (serverless Postgres), Spark real-time mode</w:t>
            </w:r>
          </w:p>
        </w:tc>
      </w:tr>
      <w:tr>
        <w:tc>
          <w:tcPr>
            <w:tcW w:type="dxa" w:w="32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bCs/>
                <w:sz w:val="18"/>
                <w:szCs w:val="18"/>
              </w:rPr>
              <w:t xml:space="preserve">BI &amp; natural-language analytics</w:t>
            </w:r>
          </w:p>
        </w:tc>
        <w:tc>
          <w:tcPr>
            <w:tcW w:type="dxa" w:w="616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8"/>
                <w:szCs w:val="18"/>
              </w:rPr>
              <w:t xml:space="preserve">Databricks SQL, AI/BI Dashboards, AI/BI Genie</w:t>
            </w:r>
          </w:p>
        </w:tc>
      </w:tr>
      <w:tr>
        <w:tc>
          <w:tcPr>
            <w:tcW w:type="dxa" w:w="32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bCs/>
                <w:sz w:val="18"/>
                <w:szCs w:val="18"/>
              </w:rPr>
              <w:t xml:space="preserve">Governance &amp; security</w:t>
            </w:r>
          </w:p>
        </w:tc>
        <w:tc>
          <w:tcPr>
            <w:tcW w:type="dxa" w:w="616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8"/>
                <w:szCs w:val="18"/>
              </w:rPr>
              <w:t xml:space="preserve">Unity Catalog (access, masking, lineage, audit, model governance)</w:t>
            </w:r>
          </w:p>
        </w:tc>
      </w:tr>
      <w:tr>
        <w:tc>
          <w:tcPr>
            <w:tcW w:type="dxa" w:w="32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bCs/>
                <w:sz w:val="18"/>
                <w:szCs w:val="18"/>
              </w:rPr>
              <w:t xml:space="preserve">Sharing &amp; collaboration</w:t>
            </w:r>
          </w:p>
        </w:tc>
        <w:tc>
          <w:tcPr>
            <w:tcW w:type="dxa" w:w="616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8"/>
                <w:szCs w:val="18"/>
              </w:rPr>
              <w:t xml:space="preserve">Delta Sharing, Clean Rooms</w:t>
            </w:r>
          </w:p>
        </w:tc>
      </w:tr>
      <w:tr>
        <w:tc>
          <w:tcPr>
            <w:tcW w:type="dxa" w:w="32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bCs/>
                <w:sz w:val="18"/>
                <w:szCs w:val="18"/>
              </w:rPr>
              <w:t xml:space="preserve">Orchestration &amp; IaC</w:t>
            </w:r>
          </w:p>
        </w:tc>
        <w:tc>
          <w:tcPr>
            <w:tcW w:type="dxa" w:w="616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8"/>
                <w:szCs w:val="18"/>
              </w:rPr>
              <w:t xml:space="preserve">Lakeflow Jobs/Workflows, Databricks Asset Bundles</w:t>
            </w:r>
          </w:p>
        </w:tc>
      </w:tr>
    </w:tbl>
    <w:p>
      <w:pPr>
        <w:pStyle w:val="Heading1"/>
        <w:pBdr>
          <w:bottom w:val="single" w:color="FF3621" w:sz="6" w:space="6"/>
        </w:pBdr>
      </w:pPr>
      <w:r>
        <w:t xml:space="preserve">6.  P&amp;C Use-Case Catalog</w:t>
      </w:r>
    </w:p>
    <w:p>
      <w:pPr>
        <w:spacing w:after="140" w:line="276"/>
      </w:pPr>
      <w:r>
        <w:t xml:space="preserve">The catalog below spans four domains. Each use case is intentionally one line — the goal here is breadth and a shared menu; detailed specs follow during the build. Use cases are reusable across packs (for example, document intelligence feeds both claims and underwriting).</w:t>
      </w:r>
    </w:p>
    <w:p>
      <w:pPr>
        <w:pStyle w:val="Heading3"/>
      </w:pPr>
      <w:r>
        <w:t xml:space="preserve">Claims</w:t>
      </w:r>
    </w:p>
    <w:p>
      <w:pPr>
        <w:pStyle w:val="ListParagraph"/>
        <w:numPr>
          <w:ilvl w:val="0"/>
          <w:numId w:val="2"/>
        </w:numPr>
        <w:spacing w:after="60" w:line="264"/>
      </w:pPr>
      <w:r>
        <w:rPr>
          <w:b/>
          <w:bCs/>
        </w:rPr>
        <w:t xml:space="preserve">Smart Claims &amp; straight-through processing — </w:t>
      </w:r>
      <w:r>
        <w:t xml:space="preserve">auto-triage FNOL and auto-adjudicate simple, low-risk claims to cut cycle time and cost.</w:t>
      </w:r>
    </w:p>
    <w:p>
      <w:pPr>
        <w:pStyle w:val="ListParagraph"/>
        <w:numPr>
          <w:ilvl w:val="0"/>
          <w:numId w:val="2"/>
        </w:numPr>
        <w:spacing w:after="60" w:line="264"/>
      </w:pPr>
      <w:r>
        <w:rPr>
          <w:b/>
          <w:bCs/>
        </w:rPr>
        <w:t xml:space="preserve">Claims severity &amp; cost prediction — </w:t>
      </w:r>
      <w:r>
        <w:t xml:space="preserve">predict ultimate cost early to route, reserve and manage large losses proactively.</w:t>
      </w:r>
    </w:p>
    <w:p>
      <w:pPr>
        <w:pStyle w:val="ListParagraph"/>
        <w:numPr>
          <w:ilvl w:val="0"/>
          <w:numId w:val="2"/>
        </w:numPr>
        <w:spacing w:after="60" w:line="264"/>
      </w:pPr>
      <w:r>
        <w:rPr>
          <w:b/>
          <w:bCs/>
        </w:rPr>
        <w:t xml:space="preserve">Fraud detection &amp; SIU prioritization — </w:t>
      </w:r>
      <w:r>
        <w:t xml:space="preserve">real-time scoring plus network/graph analytics to flag suspicious claims before payout.</w:t>
      </w:r>
    </w:p>
    <w:p>
      <w:pPr>
        <w:pStyle w:val="ListParagraph"/>
        <w:numPr>
          <w:ilvl w:val="0"/>
          <w:numId w:val="2"/>
        </w:numPr>
        <w:spacing w:after="60" w:line="264"/>
      </w:pPr>
      <w:r>
        <w:rPr>
          <w:b/>
          <w:bCs/>
        </w:rPr>
        <w:t xml:space="preserve">Claims document intelligence — </w:t>
      </w:r>
      <w:r>
        <w:t xml:space="preserve">GenAI extraction from ACORD forms, estimates and photos into structured, queryable data.</w:t>
      </w:r>
    </w:p>
    <w:p>
      <w:pPr>
        <w:pStyle w:val="ListParagraph"/>
        <w:numPr>
          <w:ilvl w:val="0"/>
          <w:numId w:val="2"/>
        </w:numPr>
        <w:spacing w:after="60" w:line="264"/>
      </w:pPr>
      <w:r>
        <w:rPr>
          <w:b/>
          <w:bCs/>
        </w:rPr>
        <w:t xml:space="preserve">Adjuster copilot — </w:t>
      </w:r>
      <w:r>
        <w:t xml:space="preserve">GenAI assistant that summarizes the file, surfaces policy terms and recommends next-best actions.</w:t>
      </w:r>
    </w:p>
    <w:p>
      <w:pPr>
        <w:pStyle w:val="ListParagraph"/>
        <w:numPr>
          <w:ilvl w:val="0"/>
          <w:numId w:val="2"/>
        </w:numPr>
        <w:spacing w:after="60" w:line="264"/>
      </w:pPr>
      <w:r>
        <w:rPr>
          <w:b/>
          <w:bCs/>
        </w:rPr>
        <w:t xml:space="preserve">Subrogation identification — </w:t>
      </w:r>
      <w:r>
        <w:t xml:space="preserve">detect recovery opportunities automatically from claim narratives and structured data.</w:t>
      </w:r>
    </w:p>
    <w:p>
      <w:pPr>
        <w:pStyle w:val="ListParagraph"/>
        <w:numPr>
          <w:ilvl w:val="0"/>
          <w:numId w:val="2"/>
        </w:numPr>
        <w:spacing w:after="60" w:line="264"/>
      </w:pPr>
      <w:r>
        <w:rPr>
          <w:b/>
          <w:bCs/>
        </w:rPr>
        <w:t xml:space="preserve">Litigation &amp; large-loss early warning — </w:t>
      </w:r>
      <w:r>
        <w:t xml:space="preserve">flag claims likely to escalate so they get senior attention sooner.</w:t>
      </w:r>
    </w:p>
    <w:p>
      <w:pPr>
        <w:pStyle w:val="Heading3"/>
      </w:pPr>
      <w:r>
        <w:t xml:space="preserve">Underwriting &amp; Pricing</w:t>
      </w:r>
    </w:p>
    <w:p>
      <w:pPr>
        <w:pStyle w:val="ListParagraph"/>
        <w:numPr>
          <w:ilvl w:val="0"/>
          <w:numId w:val="2"/>
        </w:numPr>
        <w:spacing w:after="60" w:line="264"/>
      </w:pPr>
      <w:r>
        <w:rPr>
          <w:b/>
          <w:bCs/>
        </w:rPr>
        <w:t xml:space="preserve">Automated underwriting &amp; risk triage — </w:t>
      </w:r>
      <w:r>
        <w:t xml:space="preserve">score and route submissions so underwriters focus on the risks that need judgment.</w:t>
      </w:r>
    </w:p>
    <w:p>
      <w:pPr>
        <w:pStyle w:val="ListParagraph"/>
        <w:numPr>
          <w:ilvl w:val="0"/>
          <w:numId w:val="2"/>
        </w:numPr>
        <w:spacing w:after="60" w:line="264"/>
      </w:pPr>
      <w:r>
        <w:rPr>
          <w:b/>
          <w:bCs/>
        </w:rPr>
        <w:t xml:space="preserve">Submission intake &amp; clearance — </w:t>
      </w:r>
      <w:r>
        <w:t xml:space="preserve">GenAI parsing of broker submissions and ACORD forms to speed and de-duplicate intake.</w:t>
      </w:r>
    </w:p>
    <w:p>
      <w:pPr>
        <w:pStyle w:val="ListParagraph"/>
        <w:numPr>
          <w:ilvl w:val="0"/>
          <w:numId w:val="2"/>
        </w:numPr>
        <w:spacing w:after="60" w:line="264"/>
      </w:pPr>
      <w:r>
        <w:rPr>
          <w:b/>
          <w:bCs/>
        </w:rPr>
        <w:t xml:space="preserve">Usage-based / telematics pricing — </w:t>
      </w:r>
      <w:r>
        <w:t xml:space="preserve">ingest driving/IoT data to enable behavior-based and dynamic pricing.</w:t>
      </w:r>
    </w:p>
    <w:p>
      <w:pPr>
        <w:pStyle w:val="ListParagraph"/>
        <w:numPr>
          <w:ilvl w:val="0"/>
          <w:numId w:val="2"/>
        </w:numPr>
        <w:spacing w:after="60" w:line="264"/>
      </w:pPr>
      <w:r>
        <w:rPr>
          <w:b/>
          <w:bCs/>
        </w:rPr>
        <w:t xml:space="preserve">Portfolio exposure &amp; catastrophe accumulation — </w:t>
      </w:r>
      <w:r>
        <w:t xml:space="preserve">aggregate exposure by peril and geography; stress-test against cat scenarios.</w:t>
      </w:r>
    </w:p>
    <w:p>
      <w:pPr>
        <w:pStyle w:val="ListParagraph"/>
        <w:numPr>
          <w:ilvl w:val="0"/>
          <w:numId w:val="2"/>
        </w:numPr>
        <w:spacing w:after="60" w:line="264"/>
      </w:pPr>
      <w:r>
        <w:rPr>
          <w:b/>
          <w:bCs/>
        </w:rPr>
        <w:t xml:space="preserve">Rate adequacy &amp; leakage monitoring — </w:t>
      </w:r>
      <w:r>
        <w:t xml:space="preserve">track rate versus loss trend to catch pricing leakage early.</w:t>
      </w:r>
    </w:p>
    <w:p>
      <w:pPr>
        <w:pStyle w:val="Heading3"/>
      </w:pPr>
      <w:r>
        <w:t xml:space="preserve">Customer &amp; Distribution</w:t>
      </w:r>
    </w:p>
    <w:p>
      <w:pPr>
        <w:pStyle w:val="ListParagraph"/>
        <w:numPr>
          <w:ilvl w:val="0"/>
          <w:numId w:val="2"/>
        </w:numPr>
        <w:spacing w:after="60" w:line="264"/>
      </w:pPr>
      <w:r>
        <w:rPr>
          <w:b/>
          <w:bCs/>
        </w:rPr>
        <w:t xml:space="preserve">Customer 360 — </w:t>
      </w:r>
      <w:r>
        <w:t xml:space="preserve">unify policyholder data across products and touchpoints into a single governed view.</w:t>
      </w:r>
    </w:p>
    <w:p>
      <w:pPr>
        <w:pStyle w:val="ListParagraph"/>
        <w:numPr>
          <w:ilvl w:val="0"/>
          <w:numId w:val="2"/>
        </w:numPr>
        <w:spacing w:after="60" w:line="264"/>
      </w:pPr>
      <w:r>
        <w:rPr>
          <w:b/>
          <w:bCs/>
        </w:rPr>
        <w:t xml:space="preserve">Churn / retention prediction — </w:t>
      </w:r>
      <w:r>
        <w:t xml:space="preserve">predict lapse risk and trigger next-best retention actions.</w:t>
      </w:r>
    </w:p>
    <w:p>
      <w:pPr>
        <w:pStyle w:val="ListParagraph"/>
        <w:numPr>
          <w:ilvl w:val="0"/>
          <w:numId w:val="2"/>
        </w:numPr>
        <w:spacing w:after="60" w:line="264"/>
      </w:pPr>
      <w:r>
        <w:rPr>
          <w:b/>
          <w:bCs/>
        </w:rPr>
        <w:t xml:space="preserve">Cross-sell / upsell propensity — </w:t>
      </w:r>
      <w:r>
        <w:t xml:space="preserve">identify multi-line and coverage-gap opportunities to grow per-policyholder value.</w:t>
      </w:r>
    </w:p>
    <w:p>
      <w:pPr>
        <w:pStyle w:val="ListParagraph"/>
        <w:numPr>
          <w:ilvl w:val="0"/>
          <w:numId w:val="2"/>
        </w:numPr>
        <w:spacing w:after="60" w:line="264"/>
      </w:pPr>
      <w:r>
        <w:rPr>
          <w:b/>
          <w:bCs/>
        </w:rPr>
        <w:t xml:space="preserve">Distribution &amp; agent performance — </w:t>
      </w:r>
      <w:r>
        <w:t xml:space="preserve">analyze agent/broker production, mix and quality to focus support.</w:t>
      </w:r>
    </w:p>
    <w:p>
      <w:pPr>
        <w:pStyle w:val="ListParagraph"/>
        <w:numPr>
          <w:ilvl w:val="0"/>
          <w:numId w:val="2"/>
        </w:numPr>
        <w:spacing w:after="60" w:line="264"/>
      </w:pPr>
      <w:r>
        <w:rPr>
          <w:b/>
          <w:bCs/>
        </w:rPr>
        <w:t xml:space="preserve">Voice-of-customer NLP — </w:t>
      </w:r>
      <w:r>
        <w:t xml:space="preserve">mine calls, chats and complaints for experience and emerging-issue signals.</w:t>
      </w:r>
    </w:p>
    <w:p>
      <w:pPr>
        <w:pStyle w:val="Heading3"/>
      </w:pPr>
      <w:r>
        <w:t xml:space="preserve">Finance, Actuarial &amp; Risk</w:t>
      </w:r>
    </w:p>
    <w:p>
      <w:pPr>
        <w:pStyle w:val="ListParagraph"/>
        <w:numPr>
          <w:ilvl w:val="0"/>
          <w:numId w:val="2"/>
        </w:numPr>
        <w:spacing w:after="60" w:line="264"/>
      </w:pPr>
      <w:r>
        <w:rPr>
          <w:b/>
          <w:bCs/>
        </w:rPr>
        <w:t xml:space="preserve">Loss reserving / IBNR &amp; loss-triangle automation — </w:t>
      </w:r>
      <w:r>
        <w:t xml:space="preserve">automate triangle construction and accelerate reserving analytics.</w:t>
      </w:r>
    </w:p>
    <w:p>
      <w:pPr>
        <w:pStyle w:val="ListParagraph"/>
        <w:numPr>
          <w:ilvl w:val="0"/>
          <w:numId w:val="2"/>
        </w:numPr>
        <w:spacing w:after="60" w:line="264"/>
      </w:pPr>
      <w:r>
        <w:rPr>
          <w:b/>
          <w:bCs/>
        </w:rPr>
        <w:t xml:space="preserve">Reinsurance analytics &amp; secure sharing — </w:t>
      </w:r>
      <w:r>
        <w:t xml:space="preserve">analyze cessions and share governed data with reinsurers via Clean Rooms.</w:t>
      </w:r>
    </w:p>
    <w:p>
      <w:pPr>
        <w:pStyle w:val="ListParagraph"/>
        <w:numPr>
          <w:ilvl w:val="0"/>
          <w:numId w:val="2"/>
        </w:numPr>
        <w:spacing w:after="60" w:line="264"/>
      </w:pPr>
      <w:r>
        <w:rPr>
          <w:b/>
          <w:bCs/>
        </w:rPr>
        <w:t xml:space="preserve">Regulatory, climate &amp; ESG reporting — </w:t>
      </w:r>
      <w:r>
        <w:t xml:space="preserve">governed, auditable reporting for regulators and climate-risk disclosure.</w:t>
      </w:r>
    </w:p>
    <w:p>
      <w:pPr>
        <w:spacing w:after="120"/>
      </w:pPr>
    </w:p>
    <w:p>
      <w:pPr>
        <w:pStyle w:val="Heading3"/>
      </w:pPr>
      <w:r>
        <w:t xml:space="preserve">Lighthouse use cases for v1</w:t>
      </w:r>
    </w:p>
    <w:p>
      <w:pPr>
        <w:spacing w:after="140" w:line="276"/>
      </w:pPr>
      <w:r>
        <w:t xml:space="preserve">To keep v1 focused and tell the complete platform story (BI + ML + GenAI + real-time), we propose anchoring on four lighthouse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8D0DA" w:sz="1"/>
              <w:left w:val="single" w:color="C8D0DA" w:sz="1"/>
              <w:bottom w:val="single" w:color="C8D0DA" w:sz="1"/>
              <w:right w:val="single" w:color="C8D0DA" w:sz="1"/>
            </w:tcBorders>
            <w:shd w:fill="152744" w:val="clear"/>
            <w:tcMar>
              <w:top w:type="dxa" w:w="60"/>
              <w:left w:type="dxa" w:w="110"/>
              <w:bottom w:type="dxa" w:w="60"/>
              <w:right w:type="dxa" w:w="110"/>
            </w:tcMar>
            <w:vAlign w:val="center"/>
          </w:tcPr>
          <w:p>
            <w:pPr>
              <w:spacing w:after="0" w:line="252"/>
            </w:pPr>
            <w:r>
              <w:rPr>
                <w:b/>
                <w:bCs/>
                <w:color w:val="FFFFFF"/>
                <w:sz w:val="17"/>
                <w:szCs w:val="17"/>
              </w:rPr>
              <w:t xml:space="preserve">Lighthouse use case</w:t>
            </w:r>
          </w:p>
        </w:tc>
        <w:tc>
          <w:tcPr>
            <w:tcW w:type="dxa" w:w="3360"/>
            <w:tcBorders>
              <w:top w:val="single" w:color="C8D0DA" w:sz="1"/>
              <w:left w:val="single" w:color="C8D0DA" w:sz="1"/>
              <w:bottom w:val="single" w:color="C8D0DA" w:sz="1"/>
              <w:right w:val="single" w:color="C8D0DA" w:sz="1"/>
            </w:tcBorders>
            <w:shd w:fill="152744" w:val="clear"/>
            <w:tcMar>
              <w:top w:type="dxa" w:w="60"/>
              <w:left w:type="dxa" w:w="110"/>
              <w:bottom w:type="dxa" w:w="60"/>
              <w:right w:type="dxa" w:w="110"/>
            </w:tcMar>
            <w:vAlign w:val="center"/>
          </w:tcPr>
          <w:p>
            <w:pPr>
              <w:spacing w:after="0" w:line="252"/>
            </w:pPr>
            <w:r>
              <w:rPr>
                <w:b/>
                <w:bCs/>
                <w:color w:val="FFFFFF"/>
                <w:sz w:val="17"/>
                <w:szCs w:val="17"/>
              </w:rPr>
              <w:t xml:space="preserve">Why it wins</w:t>
            </w:r>
          </w:p>
        </w:tc>
        <w:tc>
          <w:tcPr>
            <w:tcW w:type="dxa" w:w="3600"/>
            <w:tcBorders>
              <w:top w:val="single" w:color="C8D0DA" w:sz="1"/>
              <w:left w:val="single" w:color="C8D0DA" w:sz="1"/>
              <w:bottom w:val="single" w:color="C8D0DA" w:sz="1"/>
              <w:right w:val="single" w:color="C8D0DA" w:sz="1"/>
            </w:tcBorders>
            <w:shd w:fill="152744" w:val="clear"/>
            <w:tcMar>
              <w:top w:type="dxa" w:w="60"/>
              <w:left w:type="dxa" w:w="110"/>
              <w:bottom w:type="dxa" w:w="60"/>
              <w:right w:type="dxa" w:w="110"/>
            </w:tcMar>
            <w:vAlign w:val="center"/>
          </w:tcPr>
          <w:p>
            <w:pPr>
              <w:spacing w:after="0" w:line="252"/>
            </w:pPr>
            <w:r>
              <w:rPr>
                <w:b/>
                <w:bCs/>
                <w:color w:val="FFFFFF"/>
                <w:sz w:val="17"/>
                <w:szCs w:val="17"/>
              </w:rPr>
              <w:t xml:space="preserve">Capabilities showcased</w:t>
            </w:r>
          </w:p>
        </w:tc>
      </w:tr>
      <w:tr>
        <w:tc>
          <w:tcPr>
            <w:tcW w:type="dxa" w:w="24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bCs/>
                <w:sz w:val="17"/>
                <w:szCs w:val="17"/>
              </w:rPr>
              <w:t xml:space="preserve">Smart Claims + real-time fraud</w:t>
            </w:r>
          </w:p>
        </w:tc>
        <w:tc>
          <w:tcPr>
            <w:tcW w:type="dxa" w:w="336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High, quantifiable savings; instantly relatable demo</w:t>
            </w:r>
          </w:p>
        </w:tc>
        <w:tc>
          <w:tcPr>
            <w:tcW w:type="dxa" w:w="36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Streaming, ML serving, Lakebase, AI/BI dashboards</w:t>
            </w:r>
          </w:p>
        </w:tc>
      </w:tr>
      <w:tr>
        <w:tc>
          <w:tcPr>
            <w:tcW w:type="dxa" w:w="24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bCs/>
                <w:sz w:val="17"/>
                <w:szCs w:val="17"/>
              </w:rPr>
              <w:t xml:space="preserve">Claims document intelligence + adjuster copilot</w:t>
            </w:r>
          </w:p>
        </w:tc>
        <w:tc>
          <w:tcPr>
            <w:tcW w:type="dxa" w:w="336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7"/>
                <w:szCs w:val="17"/>
              </w:rPr>
              <w:t xml:space="preserve">Visible GenAI “wow”; clear efficiency gain</w:t>
            </w:r>
          </w:p>
        </w:tc>
        <w:tc>
          <w:tcPr>
            <w:tcW w:type="dxa" w:w="36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7"/>
                <w:szCs w:val="17"/>
              </w:rPr>
              <w:t xml:space="preserve">Vector Search, Agent Framework, doc extraction</w:t>
            </w:r>
          </w:p>
        </w:tc>
      </w:tr>
      <w:tr>
        <w:tc>
          <w:tcPr>
            <w:tcW w:type="dxa" w:w="24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bCs/>
                <w:sz w:val="17"/>
                <w:szCs w:val="17"/>
              </w:rPr>
              <w:t xml:space="preserve">Automated underwriting &amp; submission triage</w:t>
            </w:r>
          </w:p>
        </w:tc>
        <w:tc>
          <w:tcPr>
            <w:tcW w:type="dxa" w:w="336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Direct loss-ratio and throughput impact</w:t>
            </w:r>
          </w:p>
        </w:tc>
        <w:tc>
          <w:tcPr>
            <w:tcW w:type="dxa" w:w="36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ML triage, GenAI intake, portfolio views</w:t>
            </w:r>
          </w:p>
        </w:tc>
      </w:tr>
      <w:tr>
        <w:tc>
          <w:tcPr>
            <w:tcW w:type="dxa" w:w="24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bCs/>
                <w:sz w:val="17"/>
                <w:szCs w:val="17"/>
              </w:rPr>
              <w:t xml:space="preserve">Customer 360 + churn / next-best-action</w:t>
            </w:r>
          </w:p>
        </w:tc>
        <w:tc>
          <w:tcPr>
            <w:tcW w:type="dxa" w:w="336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7"/>
                <w:szCs w:val="17"/>
              </w:rPr>
              <w:t xml:space="preserve">Growth and retention story for the business</w:t>
            </w:r>
          </w:p>
        </w:tc>
        <w:tc>
          <w:tcPr>
            <w:tcW w:type="dxa" w:w="36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7"/>
                <w:szCs w:val="17"/>
              </w:rPr>
              <w:t xml:space="preserve">Entity resolution, ML, Genie, reverse ETL</w:t>
            </w:r>
          </w:p>
        </w:tc>
      </w:tr>
    </w:tbl>
    <w:p>
      <w:pPr>
        <w:pStyle w:val="Heading1"/>
        <w:pBdr>
          <w:bottom w:val="single" w:color="FF3621" w:sz="6" w:space="6"/>
        </w:pBdr>
      </w:pPr>
      <w:r>
        <w:t xml:space="preserve">7.  Experience Layer: BI Dashboards + GenAI</w:t>
      </w:r>
    </w:p>
    <w:p>
      <w:pPr>
        <w:spacing w:after="140" w:line="276"/>
      </w:pPr>
      <w:r>
        <w:t xml:space="preserve">Insights only create value when they reach the people making decisions. The accelerator ships a set of persona dashboards, natural-language Genie spaces and embedded GenAI assistants so both executives and front-line staff get answers in the tools and language they already use.</w:t>
      </w:r>
    </w:p>
    <w:p>
      <w:pPr>
        <w:pStyle w:val="Heading3"/>
      </w:pPr>
      <w:r>
        <w:t xml:space="preserve">Persona dashboards (AI/BI on Databricks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4760"/>
      </w:tblGrid>
      <w:tr>
        <w:trPr>
          <w:tblHeader/>
        </w:trPr>
        <w:tc>
          <w:tcPr>
            <w:tcW w:type="dxa" w:w="2500"/>
            <w:tcBorders>
              <w:top w:val="single" w:color="C8D0DA" w:sz="1"/>
              <w:left w:val="single" w:color="C8D0DA" w:sz="1"/>
              <w:bottom w:val="single" w:color="C8D0DA" w:sz="1"/>
              <w:right w:val="single" w:color="C8D0DA" w:sz="1"/>
            </w:tcBorders>
            <w:shd w:fill="152744" w:val="clear"/>
            <w:tcMar>
              <w:top w:type="dxa" w:w="60"/>
              <w:left w:type="dxa" w:w="110"/>
              <w:bottom w:type="dxa" w:w="60"/>
              <w:right w:type="dxa" w:w="110"/>
            </w:tcMar>
            <w:vAlign w:val="center"/>
          </w:tcPr>
          <w:p>
            <w:pPr>
              <w:spacing w:after="0" w:line="252"/>
            </w:pPr>
            <w:r>
              <w:rPr>
                <w:b/>
                <w:bCs/>
                <w:color w:val="FFFFFF"/>
                <w:sz w:val="17"/>
                <w:szCs w:val="17"/>
              </w:rPr>
              <w:t xml:space="preserve">Dashboard</w:t>
            </w:r>
          </w:p>
        </w:tc>
        <w:tc>
          <w:tcPr>
            <w:tcW w:type="dxa" w:w="2100"/>
            <w:tcBorders>
              <w:top w:val="single" w:color="C8D0DA" w:sz="1"/>
              <w:left w:val="single" w:color="C8D0DA" w:sz="1"/>
              <w:bottom w:val="single" w:color="C8D0DA" w:sz="1"/>
              <w:right w:val="single" w:color="C8D0DA" w:sz="1"/>
            </w:tcBorders>
            <w:shd w:fill="152744" w:val="clear"/>
            <w:tcMar>
              <w:top w:type="dxa" w:w="60"/>
              <w:left w:type="dxa" w:w="110"/>
              <w:bottom w:type="dxa" w:w="60"/>
              <w:right w:type="dxa" w:w="110"/>
            </w:tcMar>
            <w:vAlign w:val="center"/>
          </w:tcPr>
          <w:p>
            <w:pPr>
              <w:spacing w:after="0" w:line="252"/>
            </w:pPr>
            <w:r>
              <w:rPr>
                <w:b/>
                <w:bCs/>
                <w:color w:val="FFFFFF"/>
                <w:sz w:val="17"/>
                <w:szCs w:val="17"/>
              </w:rPr>
              <w:t xml:space="preserve">Primary audience</w:t>
            </w:r>
          </w:p>
        </w:tc>
        <w:tc>
          <w:tcPr>
            <w:tcW w:type="dxa" w:w="4760"/>
            <w:tcBorders>
              <w:top w:val="single" w:color="C8D0DA" w:sz="1"/>
              <w:left w:val="single" w:color="C8D0DA" w:sz="1"/>
              <w:bottom w:val="single" w:color="C8D0DA" w:sz="1"/>
              <w:right w:val="single" w:color="C8D0DA" w:sz="1"/>
            </w:tcBorders>
            <w:shd w:fill="152744" w:val="clear"/>
            <w:tcMar>
              <w:top w:type="dxa" w:w="60"/>
              <w:left w:type="dxa" w:w="110"/>
              <w:bottom w:type="dxa" w:w="60"/>
              <w:right w:type="dxa" w:w="110"/>
            </w:tcMar>
            <w:vAlign w:val="center"/>
          </w:tcPr>
          <w:p>
            <w:pPr>
              <w:spacing w:after="0" w:line="252"/>
            </w:pPr>
            <w:r>
              <w:rPr>
                <w:b/>
                <w:bCs/>
                <w:color w:val="FFFFFF"/>
                <w:sz w:val="17"/>
                <w:szCs w:val="17"/>
              </w:rPr>
              <w:t xml:space="preserve">Representative KPIs</w:t>
            </w:r>
          </w:p>
        </w:tc>
      </w:tr>
      <w:tr>
        <w:tc>
          <w:tcPr>
            <w:tcW w:type="dxa" w:w="25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bCs/>
                <w:sz w:val="17"/>
                <w:szCs w:val="17"/>
              </w:rPr>
              <w:t xml:space="preserve">Executive / combined ratio</w:t>
            </w:r>
          </w:p>
        </w:tc>
        <w:tc>
          <w:tcPr>
            <w:tcW w:type="dxa" w:w="21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C-suite, finance</w:t>
            </w:r>
          </w:p>
        </w:tc>
        <w:tc>
          <w:tcPr>
            <w:tcW w:type="dxa" w:w="476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Combined ratio, loss &amp; expense ratio, GWP, retention, cat exposure</w:t>
            </w:r>
          </w:p>
        </w:tc>
      </w:tr>
      <w:tr>
        <w:tc>
          <w:tcPr>
            <w:tcW w:type="dxa" w:w="25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bCs/>
                <w:sz w:val="17"/>
                <w:szCs w:val="17"/>
              </w:rPr>
              <w:t xml:space="preserve">Claims operations</w:t>
            </w:r>
          </w:p>
        </w:tc>
        <w:tc>
          <w:tcPr>
            <w:tcW w:type="dxa" w:w="21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7"/>
                <w:szCs w:val="17"/>
              </w:rPr>
              <w:t xml:space="preserve">Claims leaders, ops</w:t>
            </w:r>
          </w:p>
        </w:tc>
        <w:tc>
          <w:tcPr>
            <w:tcW w:type="dxa" w:w="476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7"/>
                <w:szCs w:val="17"/>
              </w:rPr>
              <w:t xml:space="preserve">Cycle time, STP rate, LAE, open/closed, severity, backlog</w:t>
            </w:r>
          </w:p>
        </w:tc>
      </w:tr>
      <w:tr>
        <w:tc>
          <w:tcPr>
            <w:tcW w:type="dxa" w:w="25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bCs/>
                <w:sz w:val="17"/>
                <w:szCs w:val="17"/>
              </w:rPr>
              <w:t xml:space="preserve">Fraud / SIU</w:t>
            </w:r>
          </w:p>
        </w:tc>
        <w:tc>
          <w:tcPr>
            <w:tcW w:type="dxa" w:w="21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SIU, claims</w:t>
            </w:r>
          </w:p>
        </w:tc>
        <w:tc>
          <w:tcPr>
            <w:tcW w:type="dxa" w:w="476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Alerts, hit rate, false-positive rate, $ saved, referral aging</w:t>
            </w:r>
          </w:p>
        </w:tc>
      </w:tr>
      <w:tr>
        <w:tc>
          <w:tcPr>
            <w:tcW w:type="dxa" w:w="25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bCs/>
                <w:sz w:val="17"/>
                <w:szCs w:val="17"/>
              </w:rPr>
              <w:t xml:space="preserve">Underwriting &amp; portfolio</w:t>
            </w:r>
          </w:p>
        </w:tc>
        <w:tc>
          <w:tcPr>
            <w:tcW w:type="dxa" w:w="21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7"/>
                <w:szCs w:val="17"/>
              </w:rPr>
              <w:t xml:space="preserve">Underwriting, pricing</w:t>
            </w:r>
          </w:p>
        </w:tc>
        <w:tc>
          <w:tcPr>
            <w:tcW w:type="dxa" w:w="476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7"/>
                <w:szCs w:val="17"/>
              </w:rPr>
              <w:t xml:space="preserve">Hit/bind ratio, loss ratio by segment, exposure, rate vs. trend</w:t>
            </w:r>
          </w:p>
        </w:tc>
      </w:tr>
      <w:tr>
        <w:tc>
          <w:tcPr>
            <w:tcW w:type="dxa" w:w="25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bCs/>
                <w:sz w:val="17"/>
                <w:szCs w:val="17"/>
              </w:rPr>
              <w:t xml:space="preserve">Customer &amp; retention</w:t>
            </w:r>
          </w:p>
        </w:tc>
        <w:tc>
          <w:tcPr>
            <w:tcW w:type="dxa" w:w="21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Marketing, distribution</w:t>
            </w:r>
          </w:p>
        </w:tc>
        <w:tc>
          <w:tcPr>
            <w:tcW w:type="dxa" w:w="476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Churn rate, NPS proxy, cross-sell, CLV, agent performance</w:t>
            </w:r>
          </w:p>
        </w:tc>
      </w:tr>
    </w:tbl>
    <w:p>
      <w:pPr>
        <w:spacing w:after="100"/>
      </w:pPr>
    </w:p>
    <w:p>
      <w:pPr>
        <w:pStyle w:val="Heading3"/>
      </w:pPr>
      <w:r>
        <w:t xml:space="preserve">AI/BI Genie — natural-language analytics</w:t>
      </w:r>
    </w:p>
    <w:p>
      <w:pPr>
        <w:spacing w:after="140" w:line="276"/>
      </w:pPr>
      <w:r>
        <w:t xml:space="preserve">Domain Genie spaces let business users ask questions in plain English — for example, “Show loss ratio by state and peril, this quarter versus last,” or “Which agents had the highest churn in commercial auto?” — grounded in the governed Gold layer. Genie in Slack brings the same answers into the flow of work without opening a BI tool.</w:t>
      </w:r>
    </w:p>
    <w:p>
      <w:pPr>
        <w:pStyle w:val="Heading3"/>
      </w:pPr>
      <w:r>
        <w:t xml:space="preserve">GenAI assistants</w:t>
      </w:r>
    </w:p>
    <w:p>
      <w:pPr>
        <w:pStyle w:val="ListParagraph"/>
        <w:numPr>
          <w:ilvl w:val="0"/>
          <w:numId w:val="2"/>
        </w:numPr>
        <w:spacing w:after="60" w:line="264"/>
      </w:pPr>
      <w:r>
        <w:rPr>
          <w:b/>
          <w:bCs/>
        </w:rPr>
        <w:t xml:space="preserve">Claims adjuster copilot — </w:t>
      </w:r>
      <w:r>
        <w:t xml:space="preserve">summarizes the claim file, surfaces relevant policy language, drafts correspondence and recommends next-best actions.</w:t>
      </w:r>
    </w:p>
    <w:p>
      <w:pPr>
        <w:pStyle w:val="ListParagraph"/>
        <w:numPr>
          <w:ilvl w:val="0"/>
          <w:numId w:val="2"/>
        </w:numPr>
        <w:spacing w:after="60" w:line="264"/>
      </w:pPr>
      <w:r>
        <w:rPr>
          <w:b/>
          <w:bCs/>
        </w:rPr>
        <w:t xml:space="preserve">Underwriting submission assistant — </w:t>
      </w:r>
      <w:r>
        <w:t xml:space="preserve">parses submissions, highlights missing information and pre-fills the risk assessment.</w:t>
      </w:r>
    </w:p>
    <w:p>
      <w:pPr>
        <w:pStyle w:val="ListParagraph"/>
        <w:numPr>
          <w:ilvl w:val="0"/>
          <w:numId w:val="2"/>
        </w:numPr>
        <w:spacing w:after="60" w:line="264"/>
      </w:pPr>
      <w:r>
        <w:rPr>
          <w:b/>
          <w:bCs/>
        </w:rPr>
        <w:t xml:space="preserve">Policy &amp; coverage Q&amp;A — </w:t>
      </w:r>
      <w:r>
        <w:t xml:space="preserve">retrieval-augmented answers over policy wordings, endorsements and guidelines for service and underwriting teams.</w:t>
      </w:r>
    </w:p>
    <w:p>
      <w:pPr>
        <w:spacing w:after="140" w:line="276"/>
      </w:pPr>
      <w:r>
        <w:t xml:space="preserve">Assistants are delivered embedded in business workflows via APIs and through Databricks-native surfaces, with all retrieval grounded in governed, lineage-tracked data.</w:t>
      </w:r>
    </w:p>
    <w:p>
      <w:pPr>
        <w:pStyle w:val="Heading1"/>
        <w:pBdr>
          <w:bottom w:val="single" w:color="FF3621" w:sz="6" w:space="6"/>
        </w:pBdr>
      </w:pPr>
      <w:r>
        <w:t xml:space="preserve">8.  What We Will Ship</w:t>
      </w:r>
    </w:p>
    <w:p>
      <w:pPr>
        <w:spacing w:after="140" w:line="276"/>
      </w:pPr>
      <w:r>
        <w:t xml:space="preserve">The accelerator is a packaged set of reusable assets — not a slideware concept. We can also build on existing Databricks Solution Accelerators (for example, Smart Claims and the Customer 360 reference architecture for insurance) as starting points rather than reinventing them.</w:t>
      </w:r>
    </w:p>
    <w:p>
      <w:pPr>
        <w:pStyle w:val="Heading3"/>
      </w:pPr>
      <w:r>
        <w:t xml:space="preserve">Platform &amp; deployment</w:t>
      </w:r>
    </w:p>
    <w:p>
      <w:pPr>
        <w:pStyle w:val="ListParagraph"/>
        <w:numPr>
          <w:ilvl w:val="0"/>
          <w:numId w:val="2"/>
        </w:numPr>
        <w:spacing w:after="60" w:line="264"/>
      </w:pPr>
      <w:r>
        <w:rPr>
          <w:b/>
          <w:bCs/>
        </w:rPr>
        <w:t xml:space="preserve">Reference architecture &amp; deployment blueprint — </w:t>
      </w:r>
      <w:r>
        <w:t xml:space="preserve">per-cloud (AWS / Azure / GCP) topology and configuration guidance.</w:t>
      </w:r>
    </w:p>
    <w:p>
      <w:pPr>
        <w:pStyle w:val="ListParagraph"/>
        <w:numPr>
          <w:ilvl w:val="0"/>
          <w:numId w:val="2"/>
        </w:numPr>
        <w:spacing w:after="60" w:line="264"/>
      </w:pPr>
      <w:r>
        <w:rPr>
          <w:b/>
          <w:bCs/>
        </w:rPr>
        <w:t xml:space="preserve">Infrastructure-as-Code — </w:t>
      </w:r>
      <w:r>
        <w:t xml:space="preserve">Databricks Asset Bundles (and Terraform where needed) for workspace, Unity Catalog catalogs/schemas, compute, SQL warehouses and jobs.</w:t>
      </w:r>
    </w:p>
    <w:p>
      <w:pPr>
        <w:pStyle w:val="Heading3"/>
      </w:pPr>
      <w:r>
        <w:t xml:space="preserve">Data foundation</w:t>
      </w:r>
    </w:p>
    <w:p>
      <w:pPr>
        <w:pStyle w:val="ListParagraph"/>
        <w:numPr>
          <w:ilvl w:val="0"/>
          <w:numId w:val="2"/>
        </w:numPr>
        <w:spacing w:after="60" w:line="264"/>
      </w:pPr>
      <w:r>
        <w:rPr>
          <w:b/>
          <w:bCs/>
        </w:rPr>
        <w:t xml:space="preserve">P&amp;C canonical data model — </w:t>
      </w:r>
      <w:r>
        <w:t xml:space="preserve">ACORD-aligned schemas (party, policy, coverage, claim, payment, loss) with Unity Catalog tags and a business glossary.</w:t>
      </w:r>
    </w:p>
    <w:p>
      <w:pPr>
        <w:pStyle w:val="ListParagraph"/>
        <w:numPr>
          <w:ilvl w:val="0"/>
          <w:numId w:val="2"/>
        </w:numPr>
        <w:spacing w:after="60" w:line="264"/>
      </w:pPr>
      <w:r>
        <w:rPr>
          <w:b/>
          <w:bCs/>
        </w:rPr>
        <w:t xml:space="preserve">Medallion pipelines — </w:t>
      </w:r>
      <w:r>
        <w:t xml:space="preserve">pre-built Lakeflow declarative pipelines with data-quality expectations across Bronze → Silver → Gold.</w:t>
      </w:r>
    </w:p>
    <w:p>
      <w:pPr>
        <w:pStyle w:val="ListParagraph"/>
        <w:numPr>
          <w:ilvl w:val="0"/>
          <w:numId w:val="2"/>
        </w:numPr>
        <w:spacing w:after="60" w:line="264"/>
      </w:pPr>
      <w:r>
        <w:rPr>
          <w:b/>
          <w:bCs/>
        </w:rPr>
        <w:t xml:space="preserve">Synthetic P&amp;C dataset &amp; generator — </w:t>
      </w:r>
      <w:r>
        <w:t xml:space="preserve">realistic policies, claims, payments, telematics and ACORD documents for instant, privacy-safe demos.</w:t>
      </w:r>
    </w:p>
    <w:p>
      <w:pPr>
        <w:pStyle w:val="Heading3"/>
      </w:pPr>
      <w:r>
        <w:t xml:space="preserve">Use-case &amp; experience assets</w:t>
      </w:r>
    </w:p>
    <w:p>
      <w:pPr>
        <w:pStyle w:val="ListParagraph"/>
        <w:numPr>
          <w:ilvl w:val="0"/>
          <w:numId w:val="2"/>
        </w:numPr>
        <w:spacing w:after="60" w:line="264"/>
      </w:pPr>
      <w:r>
        <w:rPr>
          <w:b/>
          <w:bCs/>
        </w:rPr>
        <w:t xml:space="preserve">Use-case notebooks &amp; agents — </w:t>
      </w:r>
      <w:r>
        <w:t xml:space="preserve">fraud scoring, claims document intelligence, adjuster copilot, churn and underwriting triage.</w:t>
      </w:r>
    </w:p>
    <w:p>
      <w:pPr>
        <w:pStyle w:val="ListParagraph"/>
        <w:numPr>
          <w:ilvl w:val="0"/>
          <w:numId w:val="2"/>
        </w:numPr>
        <w:spacing w:after="60" w:line="264"/>
      </w:pPr>
      <w:r>
        <w:rPr>
          <w:b/>
          <w:bCs/>
        </w:rPr>
        <w:t xml:space="preserve">Dashboards &amp; Genie spaces — </w:t>
      </w:r>
      <w:r>
        <w:t xml:space="preserve">the five persona dashboards and domain Genie spaces, pre-built and ready to demo.</w:t>
      </w:r>
    </w:p>
    <w:p>
      <w:pPr>
        <w:pStyle w:val="Heading3"/>
      </w:pPr>
      <w:r>
        <w:t xml:space="preserve">Governance, MLOps &amp; enablement</w:t>
      </w:r>
    </w:p>
    <w:p>
      <w:pPr>
        <w:pStyle w:val="ListParagraph"/>
        <w:numPr>
          <w:ilvl w:val="0"/>
          <w:numId w:val="2"/>
        </w:numPr>
        <w:spacing w:after="60" w:line="264"/>
      </w:pPr>
      <w:r>
        <w:rPr>
          <w:b/>
          <w:bCs/>
        </w:rPr>
        <w:t xml:space="preserve">Governance pack — </w:t>
      </w:r>
      <w:r>
        <w:t xml:space="preserve">Unity Catalog access policies, masking, lineage, audit and model-governance configuration.</w:t>
      </w:r>
    </w:p>
    <w:p>
      <w:pPr>
        <w:pStyle w:val="ListParagraph"/>
        <w:numPr>
          <w:ilvl w:val="0"/>
          <w:numId w:val="2"/>
        </w:numPr>
        <w:spacing w:after="60" w:line="264"/>
      </w:pPr>
      <w:r>
        <w:rPr>
          <w:b/>
          <w:bCs/>
        </w:rPr>
        <w:t xml:space="preserve">MLOps templates — </w:t>
      </w:r>
      <w:r>
        <w:t xml:space="preserve">MLflow tracking/registry, model serving, monitoring and evaluation patterns.</w:t>
      </w:r>
    </w:p>
    <w:p>
      <w:pPr>
        <w:pStyle w:val="ListParagraph"/>
        <w:numPr>
          <w:ilvl w:val="0"/>
          <w:numId w:val="2"/>
        </w:numPr>
        <w:spacing w:after="60" w:line="264"/>
      </w:pPr>
      <w:r>
        <w:rPr>
          <w:b/>
          <w:bCs/>
        </w:rPr>
        <w:t xml:space="preserve">Demo script &amp; documentation — </w:t>
      </w:r>
      <w:r>
        <w:t xml:space="preserve">a day-in-the-life narrative, runbooks and deployment/operations guides.</w:t>
      </w:r>
    </w:p>
    <w:p>
      <w:pPr>
        <w:pStyle w:val="Heading1"/>
        <w:pBdr>
          <w:bottom w:val="single" w:color="FF3621" w:sz="6" w:space="6"/>
        </w:pBdr>
      </w:pPr>
      <w:r>
        <w:t xml:space="preserve">9.  Build Roadmap &amp; Customer Deployment Path</w:t>
      </w:r>
    </w:p>
    <w:p>
      <w:pPr>
        <w:pStyle w:val="Heading3"/>
      </w:pPr>
      <w:r>
        <w:t xml:space="preserve">Building the asset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700"/>
        <w:gridCol w:w="3660"/>
      </w:tblGrid>
      <w:tr>
        <w:trPr>
          <w:tblHeader/>
        </w:trPr>
        <w:tc>
          <w:tcPr>
            <w:tcW w:type="dxa" w:w="1500"/>
            <w:tcBorders>
              <w:top w:val="single" w:color="C8D0DA" w:sz="1"/>
              <w:left w:val="single" w:color="C8D0DA" w:sz="1"/>
              <w:bottom w:val="single" w:color="C8D0DA" w:sz="1"/>
              <w:right w:val="single" w:color="C8D0DA" w:sz="1"/>
            </w:tcBorders>
            <w:shd w:fill="152744" w:val="clear"/>
            <w:tcMar>
              <w:top w:type="dxa" w:w="60"/>
              <w:left w:type="dxa" w:w="110"/>
              <w:bottom w:type="dxa" w:w="60"/>
              <w:right w:type="dxa" w:w="110"/>
            </w:tcMar>
            <w:vAlign w:val="center"/>
          </w:tcPr>
          <w:p>
            <w:pPr>
              <w:spacing w:after="0" w:line="252"/>
            </w:pPr>
            <w:r>
              <w:rPr>
                <w:b/>
                <w:bCs/>
                <w:color w:val="FFFFFF"/>
                <w:sz w:val="17"/>
                <w:szCs w:val="17"/>
              </w:rPr>
              <w:t xml:space="preserve">Phase</w:t>
            </w:r>
          </w:p>
        </w:tc>
        <w:tc>
          <w:tcPr>
            <w:tcW w:type="dxa" w:w="1500"/>
            <w:tcBorders>
              <w:top w:val="single" w:color="C8D0DA" w:sz="1"/>
              <w:left w:val="single" w:color="C8D0DA" w:sz="1"/>
              <w:bottom w:val="single" w:color="C8D0DA" w:sz="1"/>
              <w:right w:val="single" w:color="C8D0DA" w:sz="1"/>
            </w:tcBorders>
            <w:shd w:fill="152744" w:val="clear"/>
            <w:tcMar>
              <w:top w:type="dxa" w:w="60"/>
              <w:left w:type="dxa" w:w="110"/>
              <w:bottom w:type="dxa" w:w="60"/>
              <w:right w:type="dxa" w:w="110"/>
            </w:tcMar>
            <w:vAlign w:val="center"/>
          </w:tcPr>
          <w:p>
            <w:pPr>
              <w:spacing w:after="0" w:line="252"/>
            </w:pPr>
            <w:r>
              <w:rPr>
                <w:b/>
                <w:bCs/>
                <w:color w:val="FFFFFF"/>
                <w:sz w:val="17"/>
                <w:szCs w:val="17"/>
              </w:rPr>
              <w:t xml:space="preserve">Timeline</w:t>
            </w:r>
          </w:p>
        </w:tc>
        <w:tc>
          <w:tcPr>
            <w:tcW w:type="dxa" w:w="2700"/>
            <w:tcBorders>
              <w:top w:val="single" w:color="C8D0DA" w:sz="1"/>
              <w:left w:val="single" w:color="C8D0DA" w:sz="1"/>
              <w:bottom w:val="single" w:color="C8D0DA" w:sz="1"/>
              <w:right w:val="single" w:color="C8D0DA" w:sz="1"/>
            </w:tcBorders>
            <w:shd w:fill="152744" w:val="clear"/>
            <w:tcMar>
              <w:top w:type="dxa" w:w="60"/>
              <w:left w:type="dxa" w:w="110"/>
              <w:bottom w:type="dxa" w:w="60"/>
              <w:right w:type="dxa" w:w="110"/>
            </w:tcMar>
            <w:vAlign w:val="center"/>
          </w:tcPr>
          <w:p>
            <w:pPr>
              <w:spacing w:after="0" w:line="252"/>
            </w:pPr>
            <w:r>
              <w:rPr>
                <w:b/>
                <w:bCs/>
                <w:color w:val="FFFFFF"/>
                <w:sz w:val="17"/>
                <w:szCs w:val="17"/>
              </w:rPr>
              <w:t xml:space="preserve">Focus</w:t>
            </w:r>
          </w:p>
        </w:tc>
        <w:tc>
          <w:tcPr>
            <w:tcW w:type="dxa" w:w="3660"/>
            <w:tcBorders>
              <w:top w:val="single" w:color="C8D0DA" w:sz="1"/>
              <w:left w:val="single" w:color="C8D0DA" w:sz="1"/>
              <w:bottom w:val="single" w:color="C8D0DA" w:sz="1"/>
              <w:right w:val="single" w:color="C8D0DA" w:sz="1"/>
            </w:tcBorders>
            <w:shd w:fill="152744" w:val="clear"/>
            <w:tcMar>
              <w:top w:type="dxa" w:w="60"/>
              <w:left w:type="dxa" w:w="110"/>
              <w:bottom w:type="dxa" w:w="60"/>
              <w:right w:type="dxa" w:w="110"/>
            </w:tcMar>
            <w:vAlign w:val="center"/>
          </w:tcPr>
          <w:p>
            <w:pPr>
              <w:spacing w:after="0" w:line="252"/>
            </w:pPr>
            <w:r>
              <w:rPr>
                <w:b/>
                <w:bCs/>
                <w:color w:val="FFFFFF"/>
                <w:sz w:val="17"/>
                <w:szCs w:val="17"/>
              </w:rPr>
              <w:t xml:space="preserve">Key deliverables</w:t>
            </w:r>
          </w:p>
        </w:tc>
      </w:tr>
      <w:tr>
        <w:tc>
          <w:tcPr>
            <w:tcW w:type="dxa" w:w="15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bCs/>
                <w:sz w:val="17"/>
                <w:szCs w:val="17"/>
              </w:rPr>
              <w:t xml:space="preserve">Phase 0</w:t>
            </w:r>
          </w:p>
        </w:tc>
        <w:tc>
          <w:tcPr>
            <w:tcW w:type="dxa" w:w="15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Weeks 0–2</w:t>
            </w:r>
          </w:p>
        </w:tc>
        <w:tc>
          <w:tcPr>
            <w:tcW w:type="dxa" w:w="27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Foundation</w:t>
            </w:r>
          </w:p>
        </w:tc>
        <w:tc>
          <w:tcPr>
            <w:tcW w:type="dxa" w:w="366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Design, canonical model, synthetic data, Unity Catalog + IaC skeleton, ingestion</w:t>
            </w:r>
          </w:p>
        </w:tc>
      </w:tr>
      <w:tr>
        <w:tc>
          <w:tcPr>
            <w:tcW w:type="dxa" w:w="15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bCs/>
                <w:sz w:val="17"/>
                <w:szCs w:val="17"/>
              </w:rPr>
              <w:t xml:space="preserve">Phase 1</w:t>
            </w:r>
          </w:p>
        </w:tc>
        <w:tc>
          <w:tcPr>
            <w:tcW w:type="dxa" w:w="15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7"/>
                <w:szCs w:val="17"/>
              </w:rPr>
              <w:t xml:space="preserve">Weeks 2–6</w:t>
            </w:r>
          </w:p>
        </w:tc>
        <w:tc>
          <w:tcPr>
            <w:tcW w:type="dxa" w:w="27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7"/>
                <w:szCs w:val="17"/>
              </w:rPr>
              <w:t xml:space="preserve">Core + 2 lighthouse</w:t>
            </w:r>
          </w:p>
        </w:tc>
        <w:tc>
          <w:tcPr>
            <w:tcW w:type="dxa" w:w="366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7"/>
                <w:szCs w:val="17"/>
              </w:rPr>
              <w:t xml:space="preserve">Medallion pipelines, Smart Claims + fraud, doc-intel + copilot, first dashboards</w:t>
            </w:r>
          </w:p>
        </w:tc>
      </w:tr>
      <w:tr>
        <w:tc>
          <w:tcPr>
            <w:tcW w:type="dxa" w:w="15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bCs/>
                <w:sz w:val="17"/>
                <w:szCs w:val="17"/>
              </w:rPr>
              <w:t xml:space="preserve">Phase 2</w:t>
            </w:r>
          </w:p>
        </w:tc>
        <w:tc>
          <w:tcPr>
            <w:tcW w:type="dxa" w:w="15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Weeks 6–10</w:t>
            </w:r>
          </w:p>
        </w:tc>
        <w:tc>
          <w:tcPr>
            <w:tcW w:type="dxa" w:w="27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Expand + harden</w:t>
            </w:r>
          </w:p>
        </w:tc>
        <w:tc>
          <w:tcPr>
            <w:tcW w:type="dxa" w:w="366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Underwriting triage, Customer 360 + churn, Genie spaces, MLOps hardening</w:t>
            </w:r>
          </w:p>
        </w:tc>
      </w:tr>
      <w:tr>
        <w:tc>
          <w:tcPr>
            <w:tcW w:type="dxa" w:w="15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bCs/>
                <w:sz w:val="17"/>
                <w:szCs w:val="17"/>
              </w:rPr>
              <w:t xml:space="preserve">Phase 3</w:t>
            </w:r>
          </w:p>
        </w:tc>
        <w:tc>
          <w:tcPr>
            <w:tcW w:type="dxa" w:w="15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7"/>
                <w:szCs w:val="17"/>
              </w:rPr>
              <w:t xml:space="preserve">Weeks 10–14</w:t>
            </w:r>
          </w:p>
        </w:tc>
        <w:tc>
          <w:tcPr>
            <w:tcW w:type="dxa" w:w="27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7"/>
                <w:szCs w:val="17"/>
              </w:rPr>
              <w:t xml:space="preserve">Polish + package</w:t>
            </w:r>
          </w:p>
        </w:tc>
        <w:tc>
          <w:tcPr>
            <w:tcW w:type="dxa" w:w="366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7"/>
                <w:szCs w:val="17"/>
              </w:rPr>
              <w:t xml:space="preserve">Real-time (Lakebase) fraud, governance pack, demo script, docs, GTM assets</w:t>
            </w:r>
          </w:p>
        </w:tc>
      </w:tr>
    </w:tbl>
    <w:p>
      <w:pPr>
        <w:spacing w:after="120"/>
      </w:pPr>
    </w:p>
    <w:p>
      <w:pPr>
        <w:pStyle w:val="Heading3"/>
      </w:pPr>
      <w:r>
        <w:t xml:space="preserve">How a customer adopts it</w:t>
      </w:r>
    </w:p>
    <w:p>
      <w:pPr>
        <w:pStyle w:val="ListParagraph"/>
        <w:numPr>
          <w:ilvl w:val="0"/>
          <w:numId w:val="3"/>
        </w:numPr>
        <w:spacing w:after="80" w:line="264"/>
      </w:pPr>
      <w:r>
        <w:rPr>
          <w:b/>
          <w:bCs/>
        </w:rPr>
        <w:t xml:space="preserve">Discovery &amp; landing zone — </w:t>
      </w:r>
      <w:r>
        <w:t xml:space="preserve">confirm priority use cases, target cloud and existing Databricks footprint.</w:t>
      </w:r>
    </w:p>
    <w:p>
      <w:pPr>
        <w:pStyle w:val="ListParagraph"/>
        <w:numPr>
          <w:ilvl w:val="0"/>
          <w:numId w:val="3"/>
        </w:numPr>
        <w:spacing w:after="80" w:line="264"/>
      </w:pPr>
      <w:r>
        <w:rPr>
          <w:b/>
          <w:bCs/>
        </w:rPr>
        <w:t xml:space="preserve">Deploy the foundation — </w:t>
      </w:r>
      <w:r>
        <w:t xml:space="preserve">stand up the governed Lakehouse and canonical model via IaC (~1–2 weeks).</w:t>
      </w:r>
    </w:p>
    <w:p>
      <w:pPr>
        <w:pStyle w:val="ListParagraph"/>
        <w:numPr>
          <w:ilvl w:val="0"/>
          <w:numId w:val="3"/>
        </w:numPr>
        <w:spacing w:after="80" w:line="264"/>
      </w:pPr>
      <w:r>
        <w:rPr>
          <w:b/>
          <w:bCs/>
        </w:rPr>
        <w:t xml:space="preserve">Lighthouse proof of value — </w:t>
      </w:r>
      <w:r>
        <w:t xml:space="preserve">connect real data for one or two use cases and demonstrate measurable impact (~2–4 weeks).</w:t>
      </w:r>
    </w:p>
    <w:p>
      <w:pPr>
        <w:pStyle w:val="ListParagraph"/>
        <w:numPr>
          <w:ilvl w:val="0"/>
          <w:numId w:val="3"/>
        </w:numPr>
        <w:spacing w:after="80" w:line="264"/>
      </w:pPr>
      <w:r>
        <w:rPr>
          <w:b/>
          <w:bCs/>
        </w:rPr>
        <w:t xml:space="preserve">Production hardening — </w:t>
      </w:r>
      <w:r>
        <w:t xml:space="preserve">security, MLOps, monitoring and integration with core systems.</w:t>
      </w:r>
    </w:p>
    <w:p>
      <w:pPr>
        <w:pStyle w:val="ListParagraph"/>
        <w:numPr>
          <w:ilvl w:val="0"/>
          <w:numId w:val="3"/>
        </w:numPr>
        <w:spacing w:after="80" w:line="264"/>
      </w:pPr>
      <w:r>
        <w:rPr>
          <w:b/>
          <w:bCs/>
        </w:rPr>
        <w:t xml:space="preserve">Scale by pack — </w:t>
      </w:r>
      <w:r>
        <w:t xml:space="preserve">roll out additional domain packs and use cases on the same foundation.</w:t>
      </w:r>
    </w:p>
    <w:p>
      <w:pPr>
        <w:pStyle w:val="Heading1"/>
        <w:pBdr>
          <w:bottom w:val="single" w:color="FF3621" w:sz="6" w:space="6"/>
        </w:pBdr>
      </w:pPr>
      <w:r>
        <w:t xml:space="preserve">10.  Business Value &amp; ROI</w:t>
      </w:r>
    </w:p>
    <w:p>
      <w:pPr>
        <w:spacing w:after="140" w:line="276"/>
      </w:pPr>
      <w:r>
        <w:t xml:space="preserve">The value case combines operational savings, top-line growth and platform cost reduction. The ranges below are illustrative industry benchmarks to frame conversations, not guarantees; actual results depend on the customer's data, maturity and scope, and we will build a tailored value model in discovery.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60"/>
        <w:gridCol w:w="3600"/>
      </w:tblGrid>
      <w:tr>
        <w:trPr>
          <w:tblHeader/>
        </w:trPr>
        <w:tc>
          <w:tcPr>
            <w:tcW w:type="dxa" w:w="2300"/>
            <w:tcBorders>
              <w:top w:val="single" w:color="C8D0DA" w:sz="1"/>
              <w:left w:val="single" w:color="C8D0DA" w:sz="1"/>
              <w:bottom w:val="single" w:color="C8D0DA" w:sz="1"/>
              <w:right w:val="single" w:color="C8D0DA" w:sz="1"/>
            </w:tcBorders>
            <w:shd w:fill="152744" w:val="clear"/>
            <w:tcMar>
              <w:top w:type="dxa" w:w="60"/>
              <w:left w:type="dxa" w:w="110"/>
              <w:bottom w:type="dxa" w:w="60"/>
              <w:right w:type="dxa" w:w="110"/>
            </w:tcMar>
            <w:vAlign w:val="center"/>
          </w:tcPr>
          <w:p>
            <w:pPr>
              <w:spacing w:after="0" w:line="252"/>
            </w:pPr>
            <w:r>
              <w:rPr>
                <w:b/>
                <w:bCs/>
                <w:color w:val="FFFFFF"/>
                <w:sz w:val="17"/>
                <w:szCs w:val="17"/>
              </w:rPr>
              <w:t xml:space="preserve">Value lever</w:t>
            </w:r>
          </w:p>
        </w:tc>
        <w:tc>
          <w:tcPr>
            <w:tcW w:type="dxa" w:w="3460"/>
            <w:tcBorders>
              <w:top w:val="single" w:color="C8D0DA" w:sz="1"/>
              <w:left w:val="single" w:color="C8D0DA" w:sz="1"/>
              <w:bottom w:val="single" w:color="C8D0DA" w:sz="1"/>
              <w:right w:val="single" w:color="C8D0DA" w:sz="1"/>
            </w:tcBorders>
            <w:shd w:fill="152744" w:val="clear"/>
            <w:tcMar>
              <w:top w:type="dxa" w:w="60"/>
              <w:left w:type="dxa" w:w="110"/>
              <w:bottom w:type="dxa" w:w="60"/>
              <w:right w:type="dxa" w:w="110"/>
            </w:tcMar>
            <w:vAlign w:val="center"/>
          </w:tcPr>
          <w:p>
            <w:pPr>
              <w:spacing w:after="0" w:line="252"/>
            </w:pPr>
            <w:r>
              <w:rPr>
                <w:b/>
                <w:bCs/>
                <w:color w:val="FFFFFF"/>
                <w:sz w:val="17"/>
                <w:szCs w:val="17"/>
              </w:rPr>
              <w:t xml:space="preserve">Mechanism</w:t>
            </w:r>
          </w:p>
        </w:tc>
        <w:tc>
          <w:tcPr>
            <w:tcW w:type="dxa" w:w="3600"/>
            <w:tcBorders>
              <w:top w:val="single" w:color="C8D0DA" w:sz="1"/>
              <w:left w:val="single" w:color="C8D0DA" w:sz="1"/>
              <w:bottom w:val="single" w:color="C8D0DA" w:sz="1"/>
              <w:right w:val="single" w:color="C8D0DA" w:sz="1"/>
            </w:tcBorders>
            <w:shd w:fill="152744" w:val="clear"/>
            <w:tcMar>
              <w:top w:type="dxa" w:w="60"/>
              <w:left w:type="dxa" w:w="110"/>
              <w:bottom w:type="dxa" w:w="60"/>
              <w:right w:type="dxa" w:w="110"/>
            </w:tcMar>
            <w:vAlign w:val="center"/>
          </w:tcPr>
          <w:p>
            <w:pPr>
              <w:spacing w:after="0" w:line="252"/>
            </w:pPr>
            <w:r>
              <w:rPr>
                <w:b/>
                <w:bCs/>
                <w:color w:val="FFFFFF"/>
                <w:sz w:val="17"/>
                <w:szCs w:val="17"/>
              </w:rPr>
              <w:t xml:space="preserve">Illustrative impact</w:t>
            </w:r>
          </w:p>
        </w:tc>
      </w:tr>
      <w:tr>
        <w:tc>
          <w:tcPr>
            <w:tcW w:type="dxa" w:w="23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bCs/>
                <w:sz w:val="17"/>
                <w:szCs w:val="17"/>
              </w:rPr>
              <w:t xml:space="preserve">Fraud leakage</w:t>
            </w:r>
          </w:p>
        </w:tc>
        <w:tc>
          <w:tcPr>
            <w:tcW w:type="dxa" w:w="346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Real-time scoring + network analytics catch fraud pre-payout</w:t>
            </w:r>
          </w:p>
        </w:tc>
        <w:tc>
          <w:tcPr>
            <w:tcW w:type="dxa" w:w="36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Reduced indemnity leakage; fewer false positives</w:t>
            </w:r>
          </w:p>
        </w:tc>
      </w:tr>
      <w:tr>
        <w:tc>
          <w:tcPr>
            <w:tcW w:type="dxa" w:w="23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bCs/>
                <w:sz w:val="17"/>
                <w:szCs w:val="17"/>
              </w:rPr>
              <w:t xml:space="preserve">Claims efficiency</w:t>
            </w:r>
          </w:p>
        </w:tc>
        <w:tc>
          <w:tcPr>
            <w:tcW w:type="dxa" w:w="346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7"/>
                <w:szCs w:val="17"/>
              </w:rPr>
              <w:t xml:space="preserve">STP and triage cut touches and cycle time</w:t>
            </w:r>
          </w:p>
        </w:tc>
        <w:tc>
          <w:tcPr>
            <w:tcW w:type="dxa" w:w="36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7"/>
                <w:szCs w:val="17"/>
              </w:rPr>
              <w:t xml:space="preserve">Lower LAE; faster settlement; better CSAT</w:t>
            </w:r>
          </w:p>
        </w:tc>
      </w:tr>
      <w:tr>
        <w:tc>
          <w:tcPr>
            <w:tcW w:type="dxa" w:w="23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bCs/>
                <w:sz w:val="17"/>
                <w:szCs w:val="17"/>
              </w:rPr>
              <w:t xml:space="preserve">Underwriting</w:t>
            </w:r>
          </w:p>
        </w:tc>
        <w:tc>
          <w:tcPr>
            <w:tcW w:type="dxa" w:w="346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Automated triage + better risk selection</w:t>
            </w:r>
          </w:p>
        </w:tc>
        <w:tc>
          <w:tcPr>
            <w:tcW w:type="dxa" w:w="36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Improved loss ratio; higher submission throughput</w:t>
            </w:r>
          </w:p>
        </w:tc>
      </w:tr>
      <w:tr>
        <w:tc>
          <w:tcPr>
            <w:tcW w:type="dxa" w:w="23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bCs/>
                <w:sz w:val="17"/>
                <w:szCs w:val="17"/>
              </w:rPr>
              <w:t xml:space="preserve">Retention &amp; growth</w:t>
            </w:r>
          </w:p>
        </w:tc>
        <w:tc>
          <w:tcPr>
            <w:tcW w:type="dxa" w:w="346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7"/>
                <w:szCs w:val="17"/>
              </w:rPr>
              <w:t xml:space="preserve">Churn prediction + cross-sell</w:t>
            </w:r>
          </w:p>
        </w:tc>
        <w:tc>
          <w:tcPr>
            <w:tcW w:type="dxa" w:w="36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7"/>
                <w:szCs w:val="17"/>
              </w:rPr>
              <w:t xml:space="preserve">Higher retention; more premium per policyholder</w:t>
            </w:r>
          </w:p>
        </w:tc>
      </w:tr>
      <w:tr>
        <w:tc>
          <w:tcPr>
            <w:tcW w:type="dxa" w:w="23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bCs/>
                <w:sz w:val="17"/>
                <w:szCs w:val="17"/>
              </w:rPr>
              <w:t xml:space="preserve">Platform TCO</w:t>
            </w:r>
          </w:p>
        </w:tc>
        <w:tc>
          <w:tcPr>
            <w:tcW w:type="dxa" w:w="346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One governed platform vs. DW + ML + streaming silos</w:t>
            </w:r>
          </w:p>
        </w:tc>
        <w:tc>
          <w:tcPr>
            <w:tcW w:type="dxa" w:w="36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Consolidated spend; less integration overhead</w:t>
            </w:r>
          </w:p>
        </w:tc>
      </w:tr>
      <w:tr>
        <w:tc>
          <w:tcPr>
            <w:tcW w:type="dxa" w:w="23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bCs/>
                <w:sz w:val="17"/>
                <w:szCs w:val="17"/>
              </w:rPr>
              <w:t xml:space="preserve">Time-to-insight</w:t>
            </w:r>
          </w:p>
        </w:tc>
        <w:tc>
          <w:tcPr>
            <w:tcW w:type="dxa" w:w="346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7"/>
                <w:szCs w:val="17"/>
              </w:rPr>
              <w:t xml:space="preserve">Pre-built foundation, models and dashboards</w:t>
            </w:r>
          </w:p>
        </w:tc>
        <w:tc>
          <w:tcPr>
            <w:tcW w:type="dxa" w:w="36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7"/>
                <w:szCs w:val="17"/>
              </w:rPr>
              <w:t xml:space="preserve">Weeks to first value instead of quarters</w:t>
            </w:r>
          </w:p>
        </w:tc>
      </w:tr>
    </w:tbl>
    <w:p>
      <w:pPr>
        <w:spacing w:after="120"/>
      </w:pPr>
    </w:p>
    <w:p>
      <w:pPr>
        <w:spacing w:after="140" w:line="276"/>
      </w:pPr>
      <w:r>
        <w:t xml:space="preserve">Beyond point use cases, the strategic value is consolidation: replacing a warehouse plus separate ML and streaming systems with one open, governed Lakehouse lowers total cost of ownership and removes the integration tax between BI, ML and AI. Pairing that with a pre-built accelerator collapses time-to-value from quarters to weeks — which is the number most executives care about.</w:t>
      </w:r>
    </w:p>
    <w:p>
      <w:pPr>
        <w:pStyle w:val="Heading1"/>
        <w:pBdr>
          <w:bottom w:val="single" w:color="FF3621" w:sz="6" w:space="6"/>
        </w:pBdr>
      </w:pPr>
      <w:r>
        <w:t xml:space="preserve">11.  Go-to-Market &amp; Positioning</w:t>
      </w:r>
    </w:p>
    <w:p>
      <w:pPr>
        <w:spacing w:after="140" w:line="276"/>
      </w:pPr>
      <w:r>
        <w:rPr>
          <w:b/>
          <w:bCs/>
        </w:rPr>
        <w:t xml:space="preserve">Positioning. </w:t>
      </w:r>
      <w:r>
        <w:t xml:space="preserve">“InsureLake is the fastest governed path for a P&amp;C carrier to go from fragmented data to AI-driven claims, underwriting and customer outcomes on the Databricks Lakehouse.”</w:t>
      </w:r>
    </w:p>
    <w:p>
      <w:pPr>
        <w:pStyle w:val="Heading3"/>
      </w:pPr>
      <w:r>
        <w:t xml:space="preserve">What makes it differentiated</w:t>
      </w:r>
    </w:p>
    <w:p>
      <w:pPr>
        <w:pStyle w:val="ListParagraph"/>
        <w:numPr>
          <w:ilvl w:val="0"/>
          <w:numId w:val="2"/>
        </w:numPr>
        <w:spacing w:after="60" w:line="264"/>
      </w:pPr>
      <w:r>
        <w:rPr>
          <w:b/>
          <w:bCs/>
        </w:rPr>
        <w:t xml:space="preserve">Industry-specific — </w:t>
      </w:r>
      <w:r>
        <w:t xml:space="preserve">a P&amp;C data model, KPIs and use cases, not a generic data platform demo.</w:t>
      </w:r>
    </w:p>
    <w:p>
      <w:pPr>
        <w:pStyle w:val="ListParagraph"/>
        <w:numPr>
          <w:ilvl w:val="0"/>
          <w:numId w:val="2"/>
        </w:numPr>
        <w:spacing w:after="60" w:line="264"/>
      </w:pPr>
      <w:r>
        <w:rPr>
          <w:b/>
          <w:bCs/>
        </w:rPr>
        <w:t xml:space="preserve">End-to-end — </w:t>
      </w:r>
      <w:r>
        <w:t xml:space="preserve">data → BI → ML → GenAI → real-time on one governed platform.</w:t>
      </w:r>
    </w:p>
    <w:p>
      <w:pPr>
        <w:pStyle w:val="ListParagraph"/>
        <w:numPr>
          <w:ilvl w:val="0"/>
          <w:numId w:val="2"/>
        </w:numPr>
        <w:spacing w:after="60" w:line="264"/>
      </w:pPr>
      <w:r>
        <w:rPr>
          <w:b/>
          <w:bCs/>
        </w:rPr>
        <w:t xml:space="preserve">Governed &amp; deployable — </w:t>
      </w:r>
      <w:r>
        <w:t xml:space="preserve">Unity Catalog governance and IaC make it enterprise-ready, not a sandbox.</w:t>
      </w:r>
    </w:p>
    <w:p>
      <w:pPr>
        <w:pStyle w:val="ListParagraph"/>
        <w:numPr>
          <w:ilvl w:val="0"/>
          <w:numId w:val="2"/>
        </w:numPr>
        <w:spacing w:after="60" w:line="264"/>
      </w:pPr>
      <w:r>
        <w:rPr>
          <w:b/>
          <w:bCs/>
        </w:rPr>
        <w:t xml:space="preserve">Demoable from minute one — </w:t>
      </w:r>
      <w:r>
        <w:t xml:space="preserve">synthetic data means a compelling demo without customer data access.</w:t>
      </w:r>
    </w:p>
    <w:p>
      <w:pPr>
        <w:pStyle w:val="Heading3"/>
      </w:pPr>
      <w:r>
        <w:t xml:space="preserve">Entry wedges &amp; demo narrative</w:t>
      </w:r>
    </w:p>
    <w:p>
      <w:pPr>
        <w:spacing w:after="140" w:line="276"/>
      </w:pPr>
      <w:r>
        <w:t xml:space="preserve">Claims fraud and document intelligence are the strongest wedges — they are high-pain, high-visibility and quick to show value. The demo follows a day-in-the-life story: a claim arrives, document intelligence extracts it, the fraud model scores it in real time, the adjuster copilot summarizes and recommends an action, and leadership sees it all roll up in the executive dashboard — then an executive simply asks Genie a follow-up question in plain English.</w:t>
      </w:r>
    </w:p>
    <w:p>
      <w:pPr>
        <w:pStyle w:val="Heading3"/>
      </w:pPr>
      <w:r>
        <w:t xml:space="preserve">Commercial packaging &amp; partner alignment</w:t>
      </w:r>
    </w:p>
    <w:p>
      <w:pPr>
        <w:pStyle w:val="ListParagraph"/>
        <w:numPr>
          <w:ilvl w:val="0"/>
          <w:numId w:val="2"/>
        </w:numPr>
        <w:spacing w:after="60" w:line="264"/>
      </w:pPr>
      <w:r>
        <w:rPr>
          <w:b/>
          <w:bCs/>
        </w:rPr>
        <w:t xml:space="preserve">Fixed-fee proof of value — </w:t>
      </w:r>
      <w:r>
        <w:t xml:space="preserve">a time-boxed engagement landing one or two lighthouse use cases.</w:t>
      </w:r>
    </w:p>
    <w:p>
      <w:pPr>
        <w:pStyle w:val="ListParagraph"/>
        <w:numPr>
          <w:ilvl w:val="0"/>
          <w:numId w:val="2"/>
        </w:numPr>
        <w:spacing w:after="60" w:line="264"/>
      </w:pPr>
      <w:r>
        <w:rPr>
          <w:b/>
          <w:bCs/>
        </w:rPr>
        <w:t xml:space="preserve">Accelerator + implementation — </w:t>
      </w:r>
      <w:r>
        <w:t xml:space="preserve">the asset plus a scaled rollout across packs.</w:t>
      </w:r>
    </w:p>
    <w:p>
      <w:pPr>
        <w:pStyle w:val="ListParagraph"/>
        <w:numPr>
          <w:ilvl w:val="0"/>
          <w:numId w:val="2"/>
        </w:numPr>
        <w:spacing w:after="60" w:line="264"/>
      </w:pPr>
      <w:r>
        <w:rPr>
          <w:b/>
          <w:bCs/>
        </w:rPr>
        <w:t xml:space="preserve">Managed run — </w:t>
      </w:r>
      <w:r>
        <w:t xml:space="preserve">ongoing operation, monitoring and model management.</w:t>
      </w:r>
    </w:p>
    <w:p>
      <w:pPr>
        <w:pStyle w:val="ListParagraph"/>
        <w:numPr>
          <w:ilvl w:val="0"/>
          <w:numId w:val="2"/>
        </w:numPr>
        <w:spacing w:after="60" w:line="264"/>
      </w:pPr>
      <w:r>
        <w:rPr>
          <w:b/>
          <w:bCs/>
        </w:rPr>
        <w:t xml:space="preserve">Databricks co-sell — </w:t>
      </w:r>
      <w:r>
        <w:t xml:space="preserve">position as a Brickbuilder-style industry accelerator and explore a Marketplace listing and partner funding.</w:t>
      </w:r>
    </w:p>
    <w:p>
      <w:pPr>
        <w:pStyle w:val="Heading3"/>
      </w:pPr>
      <w:r>
        <w:t xml:space="preserve">Competitive context</w:t>
      </w:r>
    </w:p>
    <w:p>
      <w:pPr>
        <w:spacing w:after="140" w:line="276"/>
      </w:pPr>
      <w:r>
        <w:t xml:space="preserve">Against a cloud data warehouse with bolt-on ML, we lead with one governed platform for BI, ML and GenAI plus native unstructured and real-time support. Against build-your-own, we lead with weeks-not-quarters and pre-built insurance IP. Against core-system vendor analytics (Guidewire/Duck Creek add-ons), we lead with openness, cross-system breadth and advanced AI.</w:t>
      </w:r>
    </w:p>
    <w:p>
      <w:pPr>
        <w:pStyle w:val="Heading1"/>
        <w:pBdr>
          <w:bottom w:val="single" w:color="FF3621" w:sz="6" w:space="6"/>
        </w:pBdr>
      </w:pPr>
      <w:r>
        <w:t xml:space="preserve">12.  Risks, Considerations &amp; Open Questions</w:t>
      </w:r>
    </w:p>
    <w:p>
      <w:pPr>
        <w:pStyle w:val="Heading3"/>
      </w:pPr>
      <w:r>
        <w:t xml:space="preserve">Risks &amp; considerations</w:t>
      </w:r>
    </w:p>
    <w:p>
      <w:pPr>
        <w:pStyle w:val="ListParagraph"/>
        <w:numPr>
          <w:ilvl w:val="0"/>
          <w:numId w:val="2"/>
        </w:numPr>
        <w:spacing w:after="60" w:line="264"/>
      </w:pPr>
      <w:r>
        <w:rPr>
          <w:b/>
          <w:bCs/>
        </w:rPr>
        <w:t xml:space="preserve">Legacy connectivity — </w:t>
      </w:r>
      <w:r>
        <w:t xml:space="preserve">CDC from Guidewire, Duck Creek and mainframes needs the right connectors and access; plan integration patterns early.</w:t>
      </w:r>
    </w:p>
    <w:p>
      <w:pPr>
        <w:pStyle w:val="ListParagraph"/>
        <w:numPr>
          <w:ilvl w:val="0"/>
          <w:numId w:val="2"/>
        </w:numPr>
        <w:spacing w:after="60" w:line="264"/>
      </w:pPr>
      <w:r>
        <w:rPr>
          <w:b/>
          <w:bCs/>
        </w:rPr>
        <w:t xml:space="preserve">Synthetic vs. real data — </w:t>
      </w:r>
      <w:r>
        <w:t xml:space="preserve">synthetic data de-risks demos and privacy, but the proof-of-value must prove out on real customer data.</w:t>
      </w:r>
    </w:p>
    <w:p>
      <w:pPr>
        <w:pStyle w:val="ListParagraph"/>
        <w:numPr>
          <w:ilvl w:val="0"/>
          <w:numId w:val="2"/>
        </w:numPr>
        <w:spacing w:after="60" w:line="264"/>
      </w:pPr>
      <w:r>
        <w:rPr>
          <w:b/>
          <w:bCs/>
        </w:rPr>
        <w:t xml:space="preserve">Model risk &amp; fairness — </w:t>
      </w:r>
      <w:r>
        <w:t xml:space="preserve">pricing and underwriting models face regulatory scrutiny (NAIC model governance, bias, explainability); governance must be visible, not implied.</w:t>
      </w:r>
    </w:p>
    <w:p>
      <w:pPr>
        <w:pStyle w:val="ListParagraph"/>
        <w:numPr>
          <w:ilvl w:val="0"/>
          <w:numId w:val="2"/>
        </w:numPr>
        <w:spacing w:after="60" w:line="264"/>
      </w:pPr>
      <w:r>
        <w:rPr>
          <w:b/>
          <w:bCs/>
        </w:rPr>
        <w:t xml:space="preserve">Scope discipline — </w:t>
      </w:r>
      <w:r>
        <w:t xml:space="preserve">resist sprawl across lines of business; stay P&amp;C-first and modular for v1.</w:t>
      </w:r>
    </w:p>
    <w:p>
      <w:pPr>
        <w:pStyle w:val="ListParagraph"/>
        <w:numPr>
          <w:ilvl w:val="0"/>
          <w:numId w:val="2"/>
        </w:numPr>
        <w:spacing w:after="60" w:line="264"/>
      </w:pPr>
      <w:r>
        <w:rPr>
          <w:b/>
          <w:bCs/>
        </w:rPr>
        <w:t xml:space="preserve">Build vs. reuse — </w:t>
      </w:r>
      <w:r>
        <w:t xml:space="preserve">lean on existing Databricks Solution Accelerators where they fit rather than rebuilding.</w:t>
      </w:r>
    </w:p>
    <w:p>
      <w:pPr>
        <w:pStyle w:val="ListParagraph"/>
        <w:numPr>
          <w:ilvl w:val="0"/>
          <w:numId w:val="2"/>
        </w:numPr>
        <w:spacing w:after="60" w:line="264"/>
      </w:pPr>
      <w:r>
        <w:rPr>
          <w:b/>
          <w:bCs/>
        </w:rPr>
        <w:t xml:space="preserve">Adoption &amp; change management — </w:t>
      </w:r>
      <w:r>
        <w:t xml:space="preserve">copilots and automation only deliver if adjusters and underwriters trust and adopt them.</w:t>
      </w:r>
    </w:p>
    <w:p>
      <w:pPr>
        <w:pStyle w:val="Heading3"/>
      </w:pPr>
      <w:r>
        <w:t xml:space="preserve">Open questions for the team</w:t>
      </w:r>
    </w:p>
    <w:p>
      <w:pPr>
        <w:pStyle w:val="ListParagraph"/>
        <w:numPr>
          <w:ilvl w:val="0"/>
          <w:numId w:val="2"/>
        </w:numPr>
        <w:spacing w:after="60" w:line="264"/>
      </w:pPr>
      <w:r>
        <w:t xml:space="preserve">Final name / brand for the accelerator.</w:t>
      </w:r>
    </w:p>
    <w:p>
      <w:pPr>
        <w:pStyle w:val="ListParagraph"/>
        <w:numPr>
          <w:ilvl w:val="0"/>
          <w:numId w:val="2"/>
        </w:numPr>
        <w:spacing w:after="60" w:line="264"/>
      </w:pPr>
      <w:r>
        <w:t xml:space="preserve">Primary target cloud(s) for the reference build.</w:t>
      </w:r>
    </w:p>
    <w:p>
      <w:pPr>
        <w:pStyle w:val="ListParagraph"/>
        <w:numPr>
          <w:ilvl w:val="0"/>
          <w:numId w:val="2"/>
        </w:numPr>
        <w:spacing w:after="60" w:line="264"/>
      </w:pPr>
      <w:r>
        <w:t xml:space="preserve">Which two lighthouse use cases lead v1.</w:t>
      </w:r>
    </w:p>
    <w:p>
      <w:pPr>
        <w:pStyle w:val="ListParagraph"/>
        <w:numPr>
          <w:ilvl w:val="0"/>
          <w:numId w:val="2"/>
        </w:numPr>
        <w:spacing w:after="60" w:line="264"/>
      </w:pPr>
      <w:r>
        <w:t xml:space="preserve">Synthetic data strategy and how far GenAI goes in v1.</w:t>
      </w:r>
    </w:p>
    <w:p>
      <w:pPr>
        <w:pStyle w:val="ListParagraph"/>
        <w:numPr>
          <w:ilvl w:val="0"/>
          <w:numId w:val="2"/>
        </w:numPr>
        <w:spacing w:after="60" w:line="264"/>
      </w:pPr>
      <w:r>
        <w:t xml:space="preserve">Level of Databricks partner engagement and co-funding.</w:t>
      </w:r>
    </w:p>
    <w:p>
      <w:pPr>
        <w:pStyle w:val="ListParagraph"/>
        <w:numPr>
          <w:ilvl w:val="0"/>
          <w:numId w:val="2"/>
        </w:numPr>
        <w:spacing w:after="60" w:line="264"/>
      </w:pPr>
      <w:r>
        <w:t xml:space="preserve">One or two design-partner customers to validate with.</w:t>
      </w:r>
    </w:p>
    <w:p>
      <w:pPr>
        <w:pStyle w:val="Heading1"/>
        <w:pBdr>
          <w:bottom w:val="single" w:color="FF3621" w:sz="6" w:space="6"/>
        </w:pBdr>
      </w:pPr>
      <w:r>
        <w:t xml:space="preserve">13.  Recommended Next Steps</w:t>
      </w:r>
    </w:p>
    <w:p>
      <w:pPr>
        <w:pStyle w:val="ListParagraph"/>
        <w:numPr>
          <w:ilvl w:val="0"/>
          <w:numId w:val="4"/>
        </w:numPr>
        <w:spacing w:after="80" w:line="264"/>
      </w:pPr>
      <w:r>
        <w:rPr>
          <w:b/>
          <w:bCs/>
        </w:rPr>
        <w:t xml:space="preserve">Align on scope, name and lighthouse use cases — </w:t>
      </w:r>
      <w:r>
        <w:t xml:space="preserve">using this brief (leadership, week 0).</w:t>
      </w:r>
    </w:p>
    <w:p>
      <w:pPr>
        <w:pStyle w:val="ListParagraph"/>
        <w:numPr>
          <w:ilvl w:val="0"/>
          <w:numId w:val="4"/>
        </w:numPr>
        <w:spacing w:after="80" w:line="264"/>
      </w:pPr>
      <w:r>
        <w:rPr>
          <w:b/>
          <w:bCs/>
        </w:rPr>
        <w:t xml:space="preserve">Stand up a squad and secure Databricks partner support — </w:t>
      </w:r>
      <w:r>
        <w:t xml:space="preserve">data engineer, ML engineer, architect, insurance SME (weeks 0–1).</w:t>
      </w:r>
    </w:p>
    <w:p>
      <w:pPr>
        <w:pStyle w:val="ListParagraph"/>
        <w:numPr>
          <w:ilvl w:val="0"/>
          <w:numId w:val="4"/>
        </w:numPr>
        <w:spacing w:after="80" w:line="264"/>
      </w:pPr>
      <w:r>
        <w:rPr>
          <w:b/>
          <w:bCs/>
        </w:rPr>
        <w:t xml:space="preserve">Build Phase 0 foundation and synthetic data — </w:t>
      </w:r>
      <w:r>
        <w:t xml:space="preserve">governed Lakehouse, canonical model, IaC (weeks 1–2).</w:t>
      </w:r>
    </w:p>
    <w:p>
      <w:pPr>
        <w:pStyle w:val="ListParagraph"/>
        <w:numPr>
          <w:ilvl w:val="0"/>
          <w:numId w:val="4"/>
        </w:numPr>
        <w:spacing w:after="80" w:line="264"/>
      </w:pPr>
      <w:r>
        <w:rPr>
          <w:b/>
          <w:bCs/>
        </w:rPr>
        <w:t xml:space="preserve">Deliver two lighthouse use cases with dashboards — </w:t>
      </w:r>
      <w:r>
        <w:t xml:space="preserve">demoable end-to-end (weeks 2–6).</w:t>
      </w:r>
    </w:p>
    <w:p>
      <w:pPr>
        <w:pStyle w:val="ListParagraph"/>
        <w:numPr>
          <w:ilvl w:val="0"/>
          <w:numId w:val="4"/>
        </w:numPr>
        <w:spacing w:after="80" w:line="264"/>
      </w:pPr>
      <w:r>
        <w:rPr>
          <w:b/>
          <w:bCs/>
        </w:rPr>
        <w:t xml:space="preserve">Run an internal demo and GTM review — </w:t>
      </w:r>
      <w:r>
        <w:t xml:space="preserve">refine the narrative and packaging (week 6).</w:t>
      </w:r>
    </w:p>
    <w:p>
      <w:pPr>
        <w:pStyle w:val="ListParagraph"/>
        <w:numPr>
          <w:ilvl w:val="0"/>
          <w:numId w:val="4"/>
        </w:numPr>
        <w:spacing w:after="80" w:line="264"/>
      </w:pPr>
      <w:r>
        <w:rPr>
          <w:b/>
          <w:bCs/>
        </w:rPr>
        <w:t xml:space="preserve">Recruit one or two design-partner customers — </w:t>
      </w:r>
      <w:r>
        <w:t xml:space="preserve">validate value on real data (in parallel).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A" w:sz="1"/>
              <w:left w:val="single" w:color="FF3621" w:sz="18"/>
              <w:bottom w:val="single" w:color="C8D0DA" w:sz="1"/>
              <w:right w:val="single" w:color="C8D0DA" w:sz="1"/>
            </w:tcBorders>
            <w:shd w:fill="F3F6FA" w:val="clear"/>
            <w:tcMar>
              <w:top w:type="dxa" w:w="150"/>
              <w:left w:type="dxa" w:w="220"/>
              <w:bottom w:type="dxa" w:w="150"/>
              <w:right w:type="dxa" w:w="200"/>
            </w:tcMar>
          </w:tcPr>
          <w:p>
            <w:pPr>
              <w:spacing w:after="60" w:line="264"/>
            </w:pPr>
            <w:r>
              <w:rPr>
                <w:b/>
                <w:bCs/>
                <w:i w:val="false"/>
                <w:iCs w:val="false"/>
                <w:color w:val="152744"/>
                <w:sz w:val="22"/>
                <w:szCs w:val="22"/>
              </w:rPr>
              <w:t xml:space="preserve">The ask</w:t>
            </w:r>
          </w:p>
          <w:p>
            <w:pPr>
              <w:spacing w:after="60" w:line="264"/>
            </w:pPr>
            <w:r>
              <w:rPr>
                <w:b w:val="false"/>
                <w:bCs w:val="false"/>
                <w:i w:val="false"/>
                <w:iCs w:val="false"/>
                <w:color w:val="33414F"/>
                <w:sz w:val="20"/>
                <w:szCs w:val="20"/>
              </w:rPr>
              <w:t xml:space="preserve">Endorse the P&amp;C scope and the foundation-plus-packs approach, pick the two lighthouse use cases, and approve a small squad to deliver a demoable v1 in roughly six weeks.</w:t>
            </w:r>
          </w:p>
        </w:tc>
      </w:tr>
    </w:tbl>
    <w:p>
      <w:r>
        <w:br w:type="page"/>
      </w:r>
    </w:p>
    <w:p>
      <w:pPr>
        <w:pStyle w:val="Heading1"/>
        <w:pBdr>
          <w:bottom w:val="single" w:color="FF3621" w:sz="6" w:space="6"/>
        </w:pBdr>
      </w:pPr>
      <w:r>
        <w:t xml:space="preserve">Appendix A — Databricks Capability Glossary</w:t>
      </w:r>
    </w:p>
    <w:p>
      <w:pPr>
        <w:spacing w:after="140" w:line="276"/>
      </w:pPr>
      <w:r>
        <w:t xml:space="preserve">A quick reference to the Databricks components used in this brief, for stakeholders less familiar with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8D0DA" w:sz="1"/>
              <w:left w:val="single" w:color="C8D0DA" w:sz="1"/>
              <w:bottom w:val="single" w:color="C8D0DA" w:sz="1"/>
              <w:right w:val="single" w:color="C8D0DA" w:sz="1"/>
            </w:tcBorders>
            <w:shd w:fill="152744" w:val="clear"/>
            <w:tcMar>
              <w:top w:type="dxa" w:w="60"/>
              <w:left w:type="dxa" w:w="110"/>
              <w:bottom w:type="dxa" w:w="60"/>
              <w:right w:type="dxa" w:w="110"/>
            </w:tcMar>
            <w:vAlign w:val="center"/>
          </w:tcPr>
          <w:p>
            <w:pPr>
              <w:spacing w:after="0" w:line="252"/>
            </w:pPr>
            <w:r>
              <w:rPr>
                <w:b/>
                <w:bCs/>
                <w:color w:val="FFFFFF"/>
                <w:sz w:val="17"/>
                <w:szCs w:val="17"/>
              </w:rPr>
              <w:t xml:space="preserve">Component</w:t>
            </w:r>
          </w:p>
        </w:tc>
        <w:tc>
          <w:tcPr>
            <w:tcW w:type="dxa" w:w="6860"/>
            <w:tcBorders>
              <w:top w:val="single" w:color="C8D0DA" w:sz="1"/>
              <w:left w:val="single" w:color="C8D0DA" w:sz="1"/>
              <w:bottom w:val="single" w:color="C8D0DA" w:sz="1"/>
              <w:right w:val="single" w:color="C8D0DA" w:sz="1"/>
            </w:tcBorders>
            <w:shd w:fill="152744" w:val="clear"/>
            <w:tcMar>
              <w:top w:type="dxa" w:w="60"/>
              <w:left w:type="dxa" w:w="110"/>
              <w:bottom w:type="dxa" w:w="60"/>
              <w:right w:type="dxa" w:w="110"/>
            </w:tcMar>
            <w:vAlign w:val="center"/>
          </w:tcPr>
          <w:p>
            <w:pPr>
              <w:spacing w:after="0" w:line="252"/>
            </w:pPr>
            <w:r>
              <w:rPr>
                <w:b/>
                <w:bCs/>
                <w:color w:val="FFFFFF"/>
                <w:sz w:val="17"/>
                <w:szCs w:val="17"/>
              </w:rPr>
              <w:t xml:space="preserve">What it is / its role</w:t>
            </w:r>
          </w:p>
        </w:tc>
      </w:tr>
      <w:tr>
        <w:tc>
          <w:tcPr>
            <w:tcW w:type="dxa" w:w="25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bCs/>
                <w:sz w:val="17"/>
                <w:szCs w:val="17"/>
              </w:rPr>
              <w:t xml:space="preserve">Data Intelligence Platform</w:t>
            </w:r>
          </w:p>
        </w:tc>
        <w:tc>
          <w:tcPr>
            <w:tcW w:type="dxa" w:w="686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Databricks' unified Lakehouse platform for data engineering, analytics, ML and AI.</w:t>
            </w:r>
          </w:p>
        </w:tc>
      </w:tr>
      <w:tr>
        <w:tc>
          <w:tcPr>
            <w:tcW w:type="dxa" w:w="25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bCs/>
                <w:sz w:val="17"/>
                <w:szCs w:val="17"/>
              </w:rPr>
              <w:t xml:space="preserve">Delta Lake</w:t>
            </w:r>
          </w:p>
        </w:tc>
        <w:tc>
          <w:tcPr>
            <w:tcW w:type="dxa" w:w="686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7"/>
                <w:szCs w:val="17"/>
              </w:rPr>
              <w:t xml:space="preserve">Open storage format providing reliability (ACID) and performance for lakehouse tables.</w:t>
            </w:r>
          </w:p>
        </w:tc>
      </w:tr>
      <w:tr>
        <w:tc>
          <w:tcPr>
            <w:tcW w:type="dxa" w:w="25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bCs/>
                <w:sz w:val="17"/>
                <w:szCs w:val="17"/>
              </w:rPr>
              <w:t xml:space="preserve">Medallion architecture</w:t>
            </w:r>
          </w:p>
        </w:tc>
        <w:tc>
          <w:tcPr>
            <w:tcW w:type="dxa" w:w="686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Bronze (raw) → Silver (conformed) → Gold (business-ready) data refinement pattern.</w:t>
            </w:r>
          </w:p>
        </w:tc>
      </w:tr>
      <w:tr>
        <w:tc>
          <w:tcPr>
            <w:tcW w:type="dxa" w:w="25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bCs/>
                <w:sz w:val="17"/>
                <w:szCs w:val="17"/>
              </w:rPr>
              <w:t xml:space="preserve">Lakeflow Connect</w:t>
            </w:r>
          </w:p>
        </w:tc>
        <w:tc>
          <w:tcPr>
            <w:tcW w:type="dxa" w:w="686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7"/>
                <w:szCs w:val="17"/>
              </w:rPr>
              <w:t xml:space="preserve">Managed, change-data-capture ingestion from databases and SaaS sources.</w:t>
            </w:r>
          </w:p>
        </w:tc>
      </w:tr>
      <w:tr>
        <w:tc>
          <w:tcPr>
            <w:tcW w:type="dxa" w:w="25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bCs/>
                <w:sz w:val="17"/>
                <w:szCs w:val="17"/>
              </w:rPr>
              <w:t xml:space="preserve">Auto Loader</w:t>
            </w:r>
          </w:p>
        </w:tc>
        <w:tc>
          <w:tcPr>
            <w:tcW w:type="dxa" w:w="686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Incremental, scalable ingestion of files from cloud storage.</w:t>
            </w:r>
          </w:p>
        </w:tc>
      </w:tr>
      <w:tr>
        <w:tc>
          <w:tcPr>
            <w:tcW w:type="dxa" w:w="25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bCs/>
                <w:sz w:val="17"/>
                <w:szCs w:val="17"/>
              </w:rPr>
              <w:t xml:space="preserve">Lakeflow Declarative Pipelines</w:t>
            </w:r>
          </w:p>
        </w:tc>
        <w:tc>
          <w:tcPr>
            <w:tcW w:type="dxa" w:w="686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7"/>
                <w:szCs w:val="17"/>
              </w:rPr>
              <w:t xml:space="preserve">Declarative ETL with built-in data-quality expectations (batch + streaming).</w:t>
            </w:r>
          </w:p>
        </w:tc>
      </w:tr>
      <w:tr>
        <w:tc>
          <w:tcPr>
            <w:tcW w:type="dxa" w:w="25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bCs/>
                <w:sz w:val="17"/>
                <w:szCs w:val="17"/>
              </w:rPr>
              <w:t xml:space="preserve">Unity Catalog</w:t>
            </w:r>
          </w:p>
        </w:tc>
        <w:tc>
          <w:tcPr>
            <w:tcW w:type="dxa" w:w="686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Unified governance for data and AI: access, masking, lineage, audit, model governance.</w:t>
            </w:r>
          </w:p>
        </w:tc>
      </w:tr>
      <w:tr>
        <w:tc>
          <w:tcPr>
            <w:tcW w:type="dxa" w:w="25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bCs/>
                <w:sz w:val="17"/>
                <w:szCs w:val="17"/>
              </w:rPr>
              <w:t xml:space="preserve">Mosaic AI</w:t>
            </w:r>
          </w:p>
        </w:tc>
        <w:tc>
          <w:tcPr>
            <w:tcW w:type="dxa" w:w="686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7"/>
                <w:szCs w:val="17"/>
              </w:rPr>
              <w:t xml:space="preserve">ML/AI suite: feature store, AutoML, model serving, agent framework, evaluation.</w:t>
            </w:r>
          </w:p>
        </w:tc>
      </w:tr>
      <w:tr>
        <w:tc>
          <w:tcPr>
            <w:tcW w:type="dxa" w:w="25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bCs/>
                <w:sz w:val="17"/>
                <w:szCs w:val="17"/>
              </w:rPr>
              <w:t xml:space="preserve">MLflow</w:t>
            </w:r>
          </w:p>
        </w:tc>
        <w:tc>
          <w:tcPr>
            <w:tcW w:type="dxa" w:w="686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Open lifecycle for ML/GenAI: tracking, registry, evaluation, deployment.</w:t>
            </w:r>
          </w:p>
        </w:tc>
      </w:tr>
      <w:tr>
        <w:tc>
          <w:tcPr>
            <w:tcW w:type="dxa" w:w="25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bCs/>
                <w:sz w:val="17"/>
                <w:szCs w:val="17"/>
              </w:rPr>
              <w:t xml:space="preserve">Vector Search</w:t>
            </w:r>
          </w:p>
        </w:tc>
        <w:tc>
          <w:tcPr>
            <w:tcW w:type="dxa" w:w="686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7"/>
                <w:szCs w:val="17"/>
              </w:rPr>
              <w:t xml:space="preserve">Vector index for retrieval-augmented generation and semantic search.</w:t>
            </w:r>
          </w:p>
        </w:tc>
      </w:tr>
      <w:tr>
        <w:tc>
          <w:tcPr>
            <w:tcW w:type="dxa" w:w="25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bCs/>
                <w:sz w:val="17"/>
                <w:szCs w:val="17"/>
              </w:rPr>
              <w:t xml:space="preserve">AI/BI Dashboards &amp; Genie</w:t>
            </w:r>
          </w:p>
        </w:tc>
        <w:tc>
          <w:tcPr>
            <w:tcW w:type="dxa" w:w="686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Dashboards plus natural-language analytics over governed data.</w:t>
            </w:r>
          </w:p>
        </w:tc>
      </w:tr>
      <w:tr>
        <w:tc>
          <w:tcPr>
            <w:tcW w:type="dxa" w:w="25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bCs/>
                <w:sz w:val="17"/>
                <w:szCs w:val="17"/>
              </w:rPr>
              <w:t xml:space="preserve">Lakebase</w:t>
            </w:r>
          </w:p>
        </w:tc>
        <w:tc>
          <w:tcPr>
            <w:tcW w:type="dxa" w:w="686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7"/>
                <w:szCs w:val="17"/>
              </w:rPr>
              <w:t xml:space="preserve">Serverless Postgres-compatible operational database for real-time AI/agent workloads.</w:t>
            </w:r>
          </w:p>
        </w:tc>
      </w:tr>
      <w:tr>
        <w:tc>
          <w:tcPr>
            <w:tcW w:type="dxa" w:w="250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bCs/>
                <w:sz w:val="17"/>
                <w:szCs w:val="17"/>
              </w:rPr>
              <w:t xml:space="preserve">Delta Sharing / Clean Rooms</w:t>
            </w:r>
          </w:p>
        </w:tc>
        <w:tc>
          <w:tcPr>
            <w:tcW w:type="dxa" w:w="6860"/>
            <w:tcBorders>
              <w:top w:val="single" w:color="C8D0DA" w:sz="1"/>
              <w:left w:val="single" w:color="C8D0DA" w:sz="1"/>
              <w:bottom w:val="single" w:color="C8D0DA" w:sz="1"/>
              <w:right w:val="single" w:color="C8D0DA" w:sz="1"/>
            </w:tcBorders>
            <w:tcMar>
              <w:top w:type="dxa" w:w="60"/>
              <w:left w:type="dxa" w:w="110"/>
              <w:bottom w:type="dxa" w:w="60"/>
              <w:right w:type="dxa" w:w="110"/>
            </w:tcMar>
            <w:vAlign w:val="center"/>
          </w:tcPr>
          <w:p>
            <w:pPr>
              <w:spacing w:after="0" w:line="252"/>
            </w:pPr>
            <w:r>
              <w:rPr>
                <w:b w:val="false"/>
                <w:bCs w:val="false"/>
                <w:sz w:val="17"/>
                <w:szCs w:val="17"/>
              </w:rPr>
              <w:t xml:space="preserve">Open, governed data sharing and privacy-safe collaboration with partners.</w:t>
            </w:r>
          </w:p>
        </w:tc>
      </w:tr>
      <w:tr>
        <w:tc>
          <w:tcPr>
            <w:tcW w:type="dxa" w:w="250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bCs/>
                <w:sz w:val="17"/>
                <w:szCs w:val="17"/>
              </w:rPr>
              <w:t xml:space="preserve">Databricks Asset Bundles</w:t>
            </w:r>
          </w:p>
        </w:tc>
        <w:tc>
          <w:tcPr>
            <w:tcW w:type="dxa" w:w="6860"/>
            <w:tcBorders>
              <w:top w:val="single" w:color="C8D0DA" w:sz="1"/>
              <w:left w:val="single" w:color="C8D0DA" w:sz="1"/>
              <w:bottom w:val="single" w:color="C8D0DA" w:sz="1"/>
              <w:right w:val="single" w:color="C8D0DA" w:sz="1"/>
            </w:tcBorders>
            <w:shd w:fill="F3F6FA" w:val="clear"/>
            <w:tcMar>
              <w:top w:type="dxa" w:w="60"/>
              <w:left w:type="dxa" w:w="110"/>
              <w:bottom w:type="dxa" w:w="60"/>
              <w:right w:type="dxa" w:w="110"/>
            </w:tcMar>
            <w:vAlign w:val="center"/>
          </w:tcPr>
          <w:p>
            <w:pPr>
              <w:spacing w:after="0" w:line="252"/>
            </w:pPr>
            <w:r>
              <w:rPr>
                <w:b w:val="false"/>
                <w:bCs w:val="false"/>
                <w:sz w:val="17"/>
                <w:szCs w:val="17"/>
              </w:rPr>
              <w:t xml:space="preserve">Infrastructure-as-Code for packaging and deploying Databricks projects.</w:t>
            </w:r>
          </w:p>
        </w:tc>
      </w:tr>
    </w:tbl>
    <w:p>
      <w:pPr>
        <w:pStyle w:val="Heading1"/>
        <w:pBdr>
          <w:bottom w:val="single" w:color="FF3621" w:sz="6" w:space="6"/>
        </w:pBdr>
      </w:pPr>
      <w:r>
        <w:t xml:space="preserve">Appendix B — References</w:t>
      </w:r>
    </w:p>
    <w:p>
      <w:pPr>
        <w:spacing w:after="140" w:line="276"/>
      </w:pPr>
      <w:r>
        <w:t xml:space="preserve">Selected Databricks materials underpinning the capabilities and accelerators referenced in this brief (accessed June 2026):</w:t>
      </w:r>
    </w:p>
    <w:p>
      <w:pPr>
        <w:pStyle w:val="ListParagraph"/>
        <w:numPr>
          <w:ilvl w:val="0"/>
          <w:numId w:val="2"/>
        </w:numPr>
        <w:spacing w:after="70" w:line="264"/>
      </w:pPr>
      <w:r>
        <w:t xml:space="preserve">Smart Claims for Insurance (Solution Accelerator) — </w:t>
      </w:r>
      <w:hyperlink w:history="1" r:id="rIdgtsckejyf8n3fwrpuzi8q">
        <w:r>
          <w:rPr>
            <w:rStyle w:val="Hyperlink"/>
            <w:sz w:val="18"/>
            <w:szCs w:val="18"/>
          </w:rPr>
          <w:t xml:space="preserve">https://www.databricks.com/solutions/accelerators/smart-claims-for-insurance</w:t>
        </w:r>
      </w:hyperlink>
    </w:p>
    <w:p>
      <w:pPr>
        <w:pStyle w:val="ListParagraph"/>
        <w:numPr>
          <w:ilvl w:val="0"/>
          <w:numId w:val="2"/>
        </w:numPr>
        <w:spacing w:after="70" w:line="264"/>
      </w:pPr>
      <w:r>
        <w:t xml:space="preserve">Customer 360 Reference Architecture for Insurance — </w:t>
      </w:r>
      <w:hyperlink w:history="1" r:id="rId47vuyfz5bzydmzkteksih">
        <w:r>
          <w:rPr>
            <w:rStyle w:val="Hyperlink"/>
            <w:sz w:val="18"/>
            <w:szCs w:val="18"/>
          </w:rPr>
          <w:t xml:space="preserve">https://www.databricks.com/resources/architectures/c360-reference-architecture-for-insurance</w:t>
        </w:r>
      </w:hyperlink>
    </w:p>
    <w:p>
      <w:pPr>
        <w:pStyle w:val="ListParagraph"/>
        <w:numPr>
          <w:ilvl w:val="0"/>
          <w:numId w:val="2"/>
        </w:numPr>
        <w:spacing w:after="70" w:line="264"/>
      </w:pPr>
      <w:r>
        <w:t xml:space="preserve">How Lakehouse Powers Data-driven Insurance While Reducing TCO — </w:t>
      </w:r>
      <w:hyperlink w:history="1" r:id="rIduiskarflqhce_oyr5m0rs">
        <w:r>
          <w:rPr>
            <w:rStyle w:val="Hyperlink"/>
            <w:sz w:val="18"/>
            <w:szCs w:val="18"/>
          </w:rPr>
          <w:t xml:space="preserve">https://www.databricks.com/blog/how-lakehouse-powers-data-driven-insurance-while-reducing-tco</w:t>
        </w:r>
      </w:hyperlink>
    </w:p>
    <w:p>
      <w:pPr>
        <w:pStyle w:val="ListParagraph"/>
        <w:numPr>
          <w:ilvl w:val="0"/>
          <w:numId w:val="2"/>
        </w:numPr>
        <w:spacing w:after="70" w:line="264"/>
      </w:pPr>
      <w:r>
        <w:t xml:space="preserve">From Static Policies to Autonomous Insurance: How AI Enables Real-Time Coverage — </w:t>
      </w:r>
      <w:hyperlink w:history="1" r:id="rIdecr_qhnyuolhvrmltdugi">
        <w:r>
          <w:rPr>
            <w:rStyle w:val="Hyperlink"/>
            <w:sz w:val="18"/>
            <w:szCs w:val="18"/>
          </w:rPr>
          <w:t xml:space="preserve">https://www.databricks.com/blog/static-policies-autonomous-insurance-how-ai-enables-real-time-coverage</w:t>
        </w:r>
      </w:hyperlink>
    </w:p>
    <w:p>
      <w:pPr>
        <w:pStyle w:val="ListParagraph"/>
        <w:numPr>
          <w:ilvl w:val="0"/>
          <w:numId w:val="2"/>
        </w:numPr>
        <w:spacing w:after="70" w:line="264"/>
      </w:pPr>
      <w:r>
        <w:t xml:space="preserve">How to Build Real-Time Fraud Detection using Spark Real-Time Mode and Lakebase — </w:t>
      </w:r>
      <w:hyperlink w:history="1" r:id="rIdo-bvvsqn3vcvr-piyoq7j">
        <w:r>
          <w:rPr>
            <w:rStyle w:val="Hyperlink"/>
            <w:sz w:val="18"/>
            <w:szCs w:val="18"/>
          </w:rPr>
          <w:t xml:space="preserve">https://www.databricks.com/blog/how-build-real-time-fraud-detection-using-spark-real-time-mode-and-lakebase</w:t>
        </w:r>
      </w:hyperlink>
    </w:p>
    <w:p>
      <w:pPr>
        <w:pStyle w:val="ListParagraph"/>
        <w:numPr>
          <w:ilvl w:val="0"/>
          <w:numId w:val="2"/>
        </w:numPr>
        <w:spacing w:after="70" w:line="264"/>
      </w:pPr>
      <w:r>
        <w:t xml:space="preserve">What's New with Unity Catalog at Data + AI Summit 2026 — </w:t>
      </w:r>
      <w:hyperlink w:history="1" r:id="rIdt1gq5iuw7wdaya2-1ek5b">
        <w:r>
          <w:rPr>
            <w:rStyle w:val="Hyperlink"/>
            <w:sz w:val="18"/>
            <w:szCs w:val="18"/>
          </w:rPr>
          <w:t xml:space="preserve">https://www.databricks.com/blog/whats-new-unity-catalog-data-ai-summit-2026</w:t>
        </w:r>
      </w:hyperlink>
    </w:p>
    <w:p>
      <w:pPr>
        <w:pStyle w:val="ListParagraph"/>
        <w:numPr>
          <w:ilvl w:val="0"/>
          <w:numId w:val="2"/>
        </w:numPr>
        <w:spacing w:after="70" w:line="264"/>
      </w:pPr>
      <w:r>
        <w:t xml:space="preserve">Announcing Mosaic AI Agent Framework and Agent Evaluation — </w:t>
      </w:r>
      <w:hyperlink w:history="1" r:id="rIddhzo3dtfdmsmvxfvbauvg">
        <w:r>
          <w:rPr>
            <w:rStyle w:val="Hyperlink"/>
            <w:sz w:val="18"/>
            <w:szCs w:val="18"/>
          </w:rPr>
          <w:t xml:space="preserve">https://www.databricks.com/blog/announcing-mosaic-ai-agent-framework-and-agent-evaluation</w:t>
        </w:r>
      </w:hyperlink>
    </w:p>
    <w:p>
      <w:pPr>
        <w:pStyle w:val="ListParagraph"/>
        <w:numPr>
          <w:ilvl w:val="0"/>
          <w:numId w:val="2"/>
        </w:numPr>
        <w:spacing w:after="70" w:line="264"/>
      </w:pPr>
      <w:r>
        <w:t xml:space="preserve">Navigating the Impact of AI in Insurance: Opportunities and Challenges — </w:t>
      </w:r>
      <w:hyperlink w:history="1" r:id="rIdhdg0mdmp9ykirjhtooy6g">
        <w:r>
          <w:rPr>
            <w:rStyle w:val="Hyperlink"/>
            <w:sz w:val="18"/>
            <w:szCs w:val="18"/>
          </w:rPr>
          <w:t xml:space="preserve">https://www.databricks.com/blog/navigating-impact-ai-insurance-opportunities-and-challenges</w:t>
        </w:r>
      </w:hyperlink>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7A8696"/>
        <w:sz w:val="16"/>
        <w:szCs w:val="16"/>
      </w:rPr>
      <w:t xml:space="preserve">Confidential — internal draft v0.1</w:t>
    </w:r>
    <w:r>
      <w:rPr>
        <w:color w:val="7A8696"/>
        <w:sz w:val="16"/>
        <w:szCs w:val="16"/>
      </w:rPr>
      <w:t xml:space="preserve">	Page </w:t>
    </w:r>
    <w:r>
      <w:rPr>
        <w:color w:val="7A869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9AA6B2"/>
        <w:sz w:val="16"/>
        <w:szCs w:val="16"/>
      </w:rPr>
      <w:t xml:space="preserve">InsureLake  ·  P&amp;C Insurance Lakehouse Accelerator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32A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Arial" w:cs="Arial" w:eastAsia="Arial" w:hAnsi="Arial"/>
      <w:b/>
      <w:bCs/>
      <w:color w:val="152744"/>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color w:val="152744"/>
      <w:sz w:val="25"/>
      <w:szCs w:val="25"/>
    </w:rPr>
  </w:style>
  <w:style w:type="paragraph" w:styleId="Heading3">
    <w:name w:val="Heading 3"/>
    <w:basedOn w:val="Normal"/>
    <w:next w:val="Normal"/>
    <w:qFormat/>
    <w:pPr>
      <w:keepNext/>
      <w:spacing w:after="80" w:before="180"/>
      <w:outlineLvl w:val="2"/>
    </w:pPr>
    <w:rPr>
      <w:rFonts w:ascii="Arial" w:cs="Arial" w:eastAsia="Arial" w:hAnsi="Arial"/>
      <w:b/>
      <w:bCs/>
      <w:color w:val="2B3A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gtsckejyf8n3fwrpuzi8q" Type="http://schemas.openxmlformats.org/officeDocument/2006/relationships/hyperlink" Target="https://www.databricks.com/solutions/accelerators/smart-claims-for-insurance" TargetMode="External"/><Relationship Id="rId47vuyfz5bzydmzkteksih" Type="http://schemas.openxmlformats.org/officeDocument/2006/relationships/hyperlink" Target="https://www.databricks.com/resources/architectures/c360-reference-architecture-for-insurance" TargetMode="External"/><Relationship Id="rIduiskarflqhce_oyr5m0rs" Type="http://schemas.openxmlformats.org/officeDocument/2006/relationships/hyperlink" Target="https://www.databricks.com/blog/how-lakehouse-powers-data-driven-insurance-while-reducing-tco" TargetMode="External"/><Relationship Id="rIdecr_qhnyuolhvrmltdugi" Type="http://schemas.openxmlformats.org/officeDocument/2006/relationships/hyperlink" Target="https://www.databricks.com/blog/static-policies-autonomous-insurance-how-ai-enables-real-time-coverage" TargetMode="External"/><Relationship Id="rIdo-bvvsqn3vcvr-piyoq7j" Type="http://schemas.openxmlformats.org/officeDocument/2006/relationships/hyperlink" Target="https://www.databricks.com/blog/how-build-real-time-fraud-detection-using-spark-real-time-mode-and-lakebase" TargetMode="External"/><Relationship Id="rIdt1gq5iuw7wdaya2-1ek5b" Type="http://schemas.openxmlformats.org/officeDocument/2006/relationships/hyperlink" Target="https://www.databricks.com/blog/whats-new-unity-catalog-data-ai-summit-2026" TargetMode="External"/><Relationship Id="rIddhzo3dtfdmsmvxfvbauvg" Type="http://schemas.openxmlformats.org/officeDocument/2006/relationships/hyperlink" Target="https://www.databricks.com/blog/announcing-mosaic-ai-agent-framework-and-agent-evaluation" TargetMode="External"/><Relationship Id="rIdhdg0mdmp9ykirjhtooy6g" Type="http://schemas.openxmlformats.org/officeDocument/2006/relationships/hyperlink" Target="https://www.databricks.com/blog/navigating-impact-ai-insurance-opportunities-and-challenges" TargetMode="External"/><Relationship Id="rId11" Type="http://schemas.openxmlformats.org/officeDocument/2006/relationships/image" Target="media/bb9574e297fc3eba5e7a179866c74ece85f87dca.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2026-06-16T17:28:14.584Z</dcterms:created>
  <dcterms:modified xsi:type="dcterms:W3CDTF">2026-06-16T17:28:14.585Z</dcterms:modified>
</cp:coreProperties>
</file>

<file path=docProps/custom.xml><?xml version="1.0" encoding="utf-8"?>
<Properties xmlns="http://schemas.openxmlformats.org/officeDocument/2006/custom-properties" xmlns:vt="http://schemas.openxmlformats.org/officeDocument/2006/docPropsVTypes"/>
</file>