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ICSR Case Processing Steps in Pharmacovigilance</w:t>
      </w:r>
    </w:p>
    <w:p>
      <w:pPr>
        <w:jc w:val="center"/>
      </w:pPr>
      <w:r>
        <w:rPr>
          <w:i/>
          <w:color w:val="5A5A5A"/>
        </w:rPr>
        <w:t>Summary of the video transcript</w:t>
      </w:r>
    </w:p>
    <w:p>
      <w:pPr>
        <w:pStyle w:val="Heading1"/>
      </w:pPr>
      <w:r>
        <w:t>1. What is ICSR?</w:t>
      </w:r>
    </w:p>
    <w:p>
      <w:r>
        <w:t>ICSR stands for Individual Case Safety Report. It is a report containing information about a suspected adverse event or adverse drug reaction associated with a medicinal product.</w:t>
      </w:r>
    </w:p>
    <w:p>
      <w:r>
        <w:t>Sources of adverse event reports:</w:t>
      </w:r>
    </w:p>
    <w:p>
      <w:pPr>
        <w:pStyle w:val="ListBullet"/>
      </w:pPr>
      <w:r>
        <w:t>Solicited sources: Clinical trials and compassionate use programs.</w:t>
      </w:r>
    </w:p>
    <w:p>
      <w:pPr>
        <w:pStyle w:val="ListBullet"/>
      </w:pPr>
      <w:r>
        <w:t>Unsolicited sources: Spontaneous reports and published literature.</w:t>
      </w:r>
    </w:p>
    <w:p>
      <w:r>
        <w:t>Day 0: According to the video, Day 0 is the date on which the manufacturer receives the adverse event report. It marks the start of the regulatory reporting clock, subject to applicable regulations.</w:t>
      </w:r>
    </w:p>
    <w:p>
      <w:pPr>
        <w:pStyle w:val="Heading1"/>
      </w:pPr>
      <w:r>
        <w:t>2. Five Main Steps of ICSR Case Processing</w:t>
      </w:r>
    </w:p>
    <w:p>
      <w:pPr>
        <w:pStyle w:val="Heading2"/>
      </w:pPr>
      <w:r>
        <w:t>Triage / Case Booking</w:t>
      </w:r>
    </w:p>
    <w:p>
      <w:pPr>
        <w:pStyle w:val="ListBullet"/>
      </w:pPr>
      <w:r>
        <w:t>Check the four minimum validity criteria: identifiable patient, identifiable reporter, suspected medicinal product, and suspected adverse event/reaction.</w:t>
      </w:r>
    </w:p>
    <w:p>
      <w:pPr>
        <w:pStyle w:val="ListBullet"/>
      </w:pPr>
      <w:r>
        <w:t>Search for duplicate reports.</w:t>
      </w:r>
    </w:p>
    <w:p>
      <w:pPr>
        <w:pStyle w:val="ListBullet"/>
      </w:pPr>
      <w:r>
        <w:t>Create the case in the safety database.</w:t>
      </w:r>
    </w:p>
    <w:p>
      <w:pPr>
        <w:pStyle w:val="ListBullet"/>
      </w:pPr>
      <w:r>
        <w:t>Raise queries for missing information.</w:t>
      </w:r>
    </w:p>
    <w:p>
      <w:pPr>
        <w:pStyle w:val="Heading2"/>
      </w:pPr>
      <w:r>
        <w:t>Data Entry</w:t>
      </w:r>
    </w:p>
    <w:p>
      <w:pPr>
        <w:pStyle w:val="ListBullet"/>
      </w:pPr>
      <w:r>
        <w:t>Enter all case information accurately and completely.</w:t>
      </w:r>
    </w:p>
    <w:p>
      <w:pPr>
        <w:pStyle w:val="ListBullet"/>
      </w:pPr>
      <w:r>
        <w:t>Code medical terms using MedDRA (Medical Dictionary for Regulatory Activities).</w:t>
      </w:r>
    </w:p>
    <w:p>
      <w:pPr>
        <w:pStyle w:val="ListBullet"/>
      </w:pPr>
      <w:r>
        <w:t>Code drugs using WHODrug or the appropriate company dictionary.</w:t>
      </w:r>
    </w:p>
    <w:p>
      <w:pPr>
        <w:pStyle w:val="ListBullet"/>
      </w:pPr>
      <w:r>
        <w:t>Prepare the case narrative.</w:t>
      </w:r>
    </w:p>
    <w:p>
      <w:pPr>
        <w:pStyle w:val="ListBullet"/>
      </w:pPr>
      <w:r>
        <w:t>Raise queries when information is missing.</w:t>
      </w:r>
    </w:p>
    <w:p>
      <w:pPr>
        <w:pStyle w:val="Heading2"/>
      </w:pPr>
      <w:r>
        <w:t>Quality Review (QC)</w:t>
      </w:r>
    </w:p>
    <w:p>
      <w:pPr>
        <w:pStyle w:val="ListBullet"/>
      </w:pPr>
      <w:r>
        <w:t>Check the accuracy and completeness of the entered data.</w:t>
      </w:r>
    </w:p>
    <w:p>
      <w:pPr>
        <w:pStyle w:val="ListBullet"/>
      </w:pPr>
      <w:r>
        <w:t>Verify drug and medical coding.</w:t>
      </w:r>
    </w:p>
    <w:p>
      <w:pPr>
        <w:pStyle w:val="ListBullet"/>
      </w:pPr>
      <w:r>
        <w:t>Review the case narrative.</w:t>
      </w:r>
    </w:p>
    <w:p>
      <w:pPr>
        <w:pStyle w:val="ListBullet"/>
      </w:pPr>
      <w:r>
        <w:t>Identify errors and request corrections or clarification.</w:t>
      </w:r>
    </w:p>
    <w:p>
      <w:pPr>
        <w:pStyle w:val="Heading2"/>
      </w:pPr>
      <w:r>
        <w:t>Medical Review</w:t>
      </w:r>
    </w:p>
    <w:p>
      <w:pPr>
        <w:pStyle w:val="ListBullet"/>
      </w:pPr>
      <w:r>
        <w:t>Assess the causal relationship between the drug and the adverse event.</w:t>
      </w:r>
    </w:p>
    <w:p>
      <w:pPr>
        <w:pStyle w:val="ListBullet"/>
      </w:pPr>
      <w:r>
        <w:t>Evaluate the seriousness of the event.</w:t>
      </w:r>
    </w:p>
    <w:p>
      <w:pPr>
        <w:pStyle w:val="ListBullet"/>
      </w:pPr>
      <w:r>
        <w:t>Check medical consistency and coding.</w:t>
      </w:r>
    </w:p>
    <w:p>
      <w:pPr>
        <w:pStyle w:val="ListBullet"/>
      </w:pPr>
      <w:r>
        <w:t>Add medical or company comments, as applicable.</w:t>
      </w:r>
    </w:p>
    <w:p>
      <w:pPr>
        <w:pStyle w:val="ListBullet"/>
      </w:pPr>
      <w:r>
        <w:t>Raise queries when necessary.</w:t>
      </w:r>
    </w:p>
    <w:p>
      <w:pPr>
        <w:pStyle w:val="Heading2"/>
      </w:pPr>
      <w:r>
        <w:t>Regulatory Submission</w:t>
      </w:r>
    </w:p>
    <w:p>
      <w:pPr>
        <w:pStyle w:val="ListBullet"/>
      </w:pPr>
      <w:r>
        <w:t>Perform final completeness and validity checks.</w:t>
      </w:r>
    </w:p>
    <w:p>
      <w:pPr>
        <w:pStyle w:val="ListBullet"/>
      </w:pPr>
      <w:r>
        <w:t>Submit the ICSR to the appropriate regulatory authority.</w:t>
      </w:r>
    </w:p>
    <w:p>
      <w:pPr>
        <w:pStyle w:val="ListBullet"/>
      </w:pPr>
      <w:r>
        <w:t>Ensure compliance with applicable reporting timelines.</w:t>
      </w:r>
    </w:p>
    <w:p>
      <w:pPr>
        <w:pStyle w:val="Heading1"/>
      </w:pPr>
      <w:r>
        <w:t>3. Regulatory Reporting Timelines Mentioned in the Video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Case Category</w:t>
            </w:r>
          </w:p>
        </w:tc>
        <w:tc>
          <w:tcPr>
            <w:tcW w:type="dxa" w:w="5040"/>
          </w:tcPr>
          <w:p>
            <w:r>
              <w:t>Timeline Stated in the Video</w:t>
            </w:r>
          </w:p>
        </w:tc>
      </w:tr>
      <w:tr>
        <w:tc>
          <w:tcPr>
            <w:tcW w:type="dxa" w:w="5040"/>
          </w:tcPr>
          <w:p>
            <w:r>
              <w:t>Fatal or life-threatening cases</w:t>
            </w:r>
          </w:p>
        </w:tc>
        <w:tc>
          <w:tcPr>
            <w:tcW w:type="dxa" w:w="5040"/>
          </w:tcPr>
          <w:p>
            <w:r>
              <w:t>7 days</w:t>
            </w:r>
          </w:p>
        </w:tc>
      </w:tr>
      <w:tr>
        <w:tc>
          <w:tcPr>
            <w:tcW w:type="dxa" w:w="5040"/>
          </w:tcPr>
          <w:p>
            <w:r>
              <w:t>Other serious cases</w:t>
            </w:r>
          </w:p>
        </w:tc>
        <w:tc>
          <w:tcPr>
            <w:tcW w:type="dxa" w:w="5040"/>
          </w:tcPr>
          <w:p>
            <w:r>
              <w:t>15 days</w:t>
            </w:r>
          </w:p>
        </w:tc>
      </w:tr>
      <w:tr>
        <w:tc>
          <w:tcPr>
            <w:tcW w:type="dxa" w:w="5040"/>
          </w:tcPr>
          <w:p>
            <w:r>
              <w:t>Non-serious cases</w:t>
            </w:r>
          </w:p>
        </w:tc>
        <w:tc>
          <w:tcPr>
            <w:tcW w:type="dxa" w:w="5040"/>
          </w:tcPr>
          <w:p>
            <w:r>
              <w:t>90 days</w:t>
            </w:r>
          </w:p>
        </w:tc>
      </w:tr>
    </w:tbl>
    <w:p>
      <w:r>
        <w:t>Note: These are the timelines stated in the video, not universal current requirements. Actual reporting deadlines depend on the applicable country, regulations, report type, and company procedures.</w:t>
      </w:r>
    </w:p>
    <w:p>
      <w:pPr>
        <w:pStyle w:val="Heading1"/>
      </w:pPr>
      <w:r>
        <w:t>4. Responsibilities of Different Associates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Main Responsibility</w:t>
            </w:r>
          </w:p>
        </w:tc>
      </w:tr>
      <w:tr>
        <w:tc>
          <w:tcPr>
            <w:tcW w:type="dxa" w:w="5040"/>
          </w:tcPr>
          <w:p>
            <w:r>
              <w:t>Triage Associate</w:t>
            </w:r>
          </w:p>
        </w:tc>
        <w:tc>
          <w:tcPr>
            <w:tcW w:type="dxa" w:w="5040"/>
          </w:tcPr>
          <w:p>
            <w:r>
              <w:t>Validity check, duplicate search, and case creation</w:t>
            </w:r>
          </w:p>
        </w:tc>
      </w:tr>
      <w:tr>
        <w:tc>
          <w:tcPr>
            <w:tcW w:type="dxa" w:w="5040"/>
          </w:tcPr>
          <w:p>
            <w:r>
              <w:t>Data Entry Associate</w:t>
            </w:r>
          </w:p>
        </w:tc>
        <w:tc>
          <w:tcPr>
            <w:tcW w:type="dxa" w:w="5040"/>
          </w:tcPr>
          <w:p>
            <w:r>
              <w:t>Data entry, coding, and narrative preparation</w:t>
            </w:r>
          </w:p>
        </w:tc>
      </w:tr>
      <w:tr>
        <w:tc>
          <w:tcPr>
            <w:tcW w:type="dxa" w:w="5040"/>
          </w:tcPr>
          <w:p>
            <w:r>
              <w:t>Quality Reviewer</w:t>
            </w:r>
          </w:p>
        </w:tc>
        <w:tc>
          <w:tcPr>
            <w:tcW w:type="dxa" w:w="5040"/>
          </w:tcPr>
          <w:p>
            <w:r>
              <w:t>Checking accuracy and completeness</w:t>
            </w:r>
          </w:p>
        </w:tc>
      </w:tr>
      <w:tr>
        <w:tc>
          <w:tcPr>
            <w:tcW w:type="dxa" w:w="5040"/>
          </w:tcPr>
          <w:p>
            <w:r>
              <w:t>Medical Reviewer</w:t>
            </w:r>
          </w:p>
        </w:tc>
        <w:tc>
          <w:tcPr>
            <w:tcW w:type="dxa" w:w="5040"/>
          </w:tcPr>
          <w:p>
            <w:r>
              <w:t>Medical assessment, seriousness, and causality</w:t>
            </w:r>
          </w:p>
        </w:tc>
      </w:tr>
      <w:tr>
        <w:tc>
          <w:tcPr>
            <w:tcW w:type="dxa" w:w="5040"/>
          </w:tcPr>
          <w:p>
            <w:r>
              <w:t>Submission Associate</w:t>
            </w:r>
          </w:p>
        </w:tc>
        <w:tc>
          <w:tcPr>
            <w:tcW w:type="dxa" w:w="5040"/>
          </w:tcPr>
          <w:p>
            <w:r>
              <w:t>Final checks and regulatory submission</w:t>
            </w:r>
          </w:p>
        </w:tc>
      </w:tr>
    </w:tbl>
    <w:p>
      <w:pPr>
        <w:pStyle w:val="Heading1"/>
      </w:pPr>
      <w:r>
        <w:t>5. Important Terms</w:t>
      </w:r>
    </w:p>
    <w:p>
      <w:pPr>
        <w:pStyle w:val="ListBullet"/>
      </w:pPr>
      <w:r>
        <w:rPr>
          <w:b/>
        </w:rPr>
        <w:t xml:space="preserve">MedDRA: </w:t>
      </w:r>
      <w:r>
        <w:t>Medical Dictionary for Regulatory Activities; used to code medical information.</w:t>
      </w:r>
    </w:p>
    <w:p>
      <w:pPr>
        <w:pStyle w:val="ListBullet"/>
      </w:pPr>
      <w:r>
        <w:rPr>
          <w:b/>
        </w:rPr>
        <w:t xml:space="preserve">WHODrug: </w:t>
      </w:r>
      <w:r>
        <w:t>A drug dictionary used for medicinal product coding.</w:t>
      </w:r>
    </w:p>
    <w:p>
      <w:pPr>
        <w:pStyle w:val="ListBullet"/>
      </w:pPr>
      <w:r>
        <w:rPr>
          <w:b/>
        </w:rPr>
        <w:t xml:space="preserve">Case Narrative: </w:t>
      </w:r>
      <w:r>
        <w:t>A chronological summary of the patient's medical information and the reported event.</w:t>
      </w:r>
    </w:p>
    <w:p>
      <w:pPr>
        <w:pStyle w:val="ListBullet"/>
      </w:pPr>
      <w:r>
        <w:rPr>
          <w:b/>
        </w:rPr>
        <w:t xml:space="preserve">Causality Assessment: </w:t>
      </w:r>
      <w:r>
        <w:t>Evaluation of the possible relationship between a drug and an adverse event.</w:t>
      </w:r>
    </w:p>
    <w:p>
      <w:pPr>
        <w:pStyle w:val="ListBullet"/>
      </w:pPr>
      <w:r>
        <w:rPr>
          <w:b/>
        </w:rPr>
        <w:t xml:space="preserve">Query: </w:t>
      </w:r>
      <w:r>
        <w:t>A request for missing, incomplete, or unclear information.</w:t>
      </w:r>
    </w:p>
    <w:p>
      <w:pPr>
        <w:pStyle w:val="ListBullet"/>
      </w:pPr>
      <w:r>
        <w:rPr>
          <w:b/>
        </w:rPr>
        <w:t xml:space="preserve">Safety Database: </w:t>
      </w:r>
      <w:r>
        <w:t>A system used to store and process safety reports.</w:t>
      </w:r>
    </w:p>
    <w:p>
      <w:pPr>
        <w:pStyle w:val="Heading1"/>
      </w:pPr>
      <w:r>
        <w:t>Memory Trick</w:t>
      </w:r>
    </w:p>
    <w:p>
      <w:r>
        <w:rPr>
          <w:b/>
          <w:sz w:val="28"/>
        </w:rPr>
        <w:t>T–D–Q–M–S</w:t>
      </w:r>
    </w:p>
    <w:p>
      <w:r>
        <w:t>Triage → Data Entry → Quality Review → Medical Review → Submission.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ICSR Case Processing | Page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