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color w:val="2E74B5"/>
          <w:sz w:val="22"/>
        </w:rPr>
        <w:t>BEACON</w:t>
      </w:r>
    </w:p>
    <w:p>
      <w:pPr>
        <w:spacing w:after="120"/>
      </w:pPr>
      <w:r>
        <w:rPr>
          <w:rFonts w:ascii="Calibri" w:hAnsi="Calibri"/>
          <w:b/>
          <w:color w:val="16324F"/>
          <w:sz w:val="50"/>
        </w:rPr>
        <w:t>Product Readiness and</w:t>
        <w:br/>
        <w:t>Observability Review Assessment</w:t>
      </w:r>
    </w:p>
    <w:p>
      <w:pPr>
        <w:spacing w:after="360"/>
      </w:pPr>
      <w:r>
        <w:rPr>
          <w:rFonts w:ascii="Calibri" w:hAnsi="Calibri"/>
          <w:color w:val="5B6573"/>
          <w:sz w:val="26"/>
        </w:rPr>
        <w:t>Repository-wide assessment and roadmap for secure, organization-wide adoption</w:t>
      </w:r>
    </w:p>
    <w:p>
      <w:pPr>
        <w:spacing w:after="60"/>
      </w:pPr>
      <w:r>
        <w:rPr>
          <w:rFonts w:ascii="Calibri" w:hAnsi="Calibri"/>
          <w:b/>
          <w:color w:val="1F2937"/>
          <w:sz w:val="21"/>
        </w:rPr>
        <w:t xml:space="preserve">Prepared for: </w:t>
      </w:r>
      <w:r>
        <w:rPr>
          <w:rFonts w:ascii="Calibri" w:hAnsi="Calibri"/>
          <w:color w:val="1F2937"/>
          <w:sz w:val="21"/>
        </w:rPr>
        <w:t>Beacon maintainers, platform engineering, SRE, security, and service teams</w:t>
      </w:r>
    </w:p>
    <w:p>
      <w:pPr>
        <w:spacing w:after="60"/>
      </w:pPr>
      <w:r>
        <w:rPr>
          <w:rFonts w:ascii="Calibri" w:hAnsi="Calibri"/>
          <w:b/>
          <w:color w:val="1F2937"/>
          <w:sz w:val="21"/>
        </w:rPr>
        <w:t xml:space="preserve">Assessment date: </w:t>
      </w:r>
      <w:r>
        <w:rPr>
          <w:rFonts w:ascii="Calibri" w:hAnsi="Calibri"/>
          <w:color w:val="1F2937"/>
          <w:sz w:val="21"/>
        </w:rPr>
        <w:t>29 August 2026</w:t>
      </w:r>
    </w:p>
    <w:p>
      <w:pPr>
        <w:spacing w:after="60"/>
      </w:pPr>
      <w:r>
        <w:rPr>
          <w:rFonts w:ascii="Calibri" w:hAnsi="Calibri"/>
          <w:b/>
          <w:color w:val="1F2937"/>
          <w:sz w:val="21"/>
        </w:rPr>
        <w:t xml:space="preserve">Repository: </w:t>
      </w:r>
      <w:r>
        <w:rPr>
          <w:rFonts w:ascii="Calibri" w:hAnsi="Calibri"/>
          <w:color w:val="1F2937"/>
          <w:sz w:val="21"/>
        </w:rPr>
        <w:t>/Users/richamishra/IdeaProjects/beacon</w:t>
      </w:r>
    </w:p>
    <w:p>
      <w:pPr>
        <w:spacing w:after="60"/>
      </w:pPr>
      <w:r>
        <w:rPr>
          <w:rFonts w:ascii="Calibri" w:hAnsi="Calibri"/>
          <w:b/>
          <w:color w:val="1F2937"/>
          <w:sz w:val="21"/>
        </w:rPr>
        <w:t xml:space="preserve">Document status: </w:t>
      </w:r>
      <w:r>
        <w:rPr>
          <w:rFonts w:ascii="Calibri" w:hAnsi="Calibri"/>
          <w:color w:val="1F2937"/>
          <w:sz w:val="21"/>
        </w:rPr>
        <w:t>Internal working assessment - preserve with the repository documentation</w:t>
      </w:r>
    </w:p>
    <w:p>
      <w:pPr>
        <w:spacing w:before="200" w:after="280"/>
        <w:pBdr>
          <w:bottom w:val="single" w:sz="14" w:space="1" w:color="2E74B5"/>
        </w:pBdr>
      </w:pPr>
    </w:p>
    <w:p>
      <w:pPr>
        <w:spacing w:before="120" w:after="160" w:line="264" w:lineRule="auto"/>
        <w:ind w:left="115" w:right="115"/>
        <w:shd w:fill="F3F7FB"/>
        <w:pBdr>
          <w:left w:val="single" w:sz="18" w:space="8" w:color="1F4D78"/>
        </w:pBdr>
      </w:pPr>
      <w:r>
        <w:rPr>
          <w:rFonts w:ascii="Calibri" w:hAnsi="Calibri"/>
          <w:b/>
          <w:color w:val="1F4D78"/>
          <w:sz w:val="22"/>
        </w:rPr>
        <w:t xml:space="preserve">Executive conclusion: </w:t>
      </w:r>
      <w:r>
        <w:rPr>
          <w:rFonts w:ascii="Calibri" w:hAnsi="Calibri"/>
          <w:color w:val="1F2937"/>
          <w:sz w:val="22"/>
        </w:rPr>
        <w:t>Beacon has a credible deterministic readiness engine, but it is not yet ready to operate as a secure, organization-wide shared product. The recommended path is to harden the CLI engine first, make it effortless to run in every team's CI, and then add a secure control plane around stable evidence contracts.</w:t>
      </w:r>
    </w:p>
    <w:p>
      <w:pPr>
        <w:pStyle w:val="Heading1"/>
      </w:pPr>
      <w:r>
        <w:t>1. Executive assessment</w:t>
      </w:r>
    </w:p>
    <w:p>
      <w:r>
        <w:rPr>
          <w:rFonts w:ascii="Calibri" w:hAnsi="Calibri"/>
          <w:color w:val="1F2937"/>
          <w:sz w:val="22"/>
        </w:rPr>
        <w:t>Beacon should remain a production-readiness and operational-reasoning layer over existing infrastructure and observability platforms. It should query evidence, normalize it, explain risk, and govern decisions. It should not become another metrics, traces, or logs database.</w:t>
      </w:r>
    </w:p>
    <w:p>
      <w:pPr>
        <w:numPr>
          <w:ilvl w:val="0"/>
          <w:numId w:val="100"/>
        </w:numPr>
      </w:pPr>
      <w:r>
        <w:rPr>
          <w:rFonts w:ascii="Calibri" w:hAnsi="Calibri"/>
          <w:color w:val="1F2937"/>
          <w:sz w:val="22"/>
        </w:rPr>
        <w:t>The deterministic, evidence-first architecture is a strong differentiator.</w:t>
      </w:r>
    </w:p>
    <w:p>
      <w:pPr>
        <w:numPr>
          <w:ilvl w:val="0"/>
          <w:numId w:val="100"/>
        </w:numPr>
      </w:pPr>
      <w:r>
        <w:rPr>
          <w:rFonts w:ascii="Calibri" w:hAnsi="Calibri"/>
          <w:color w:val="1F2937"/>
          <w:sz w:val="22"/>
        </w:rPr>
        <w:t>The CLI, container, policy model, evidence output, and readiness packs form a useful adoption foundation.</w:t>
      </w:r>
    </w:p>
    <w:p>
      <w:pPr>
        <w:numPr>
          <w:ilvl w:val="0"/>
          <w:numId w:val="100"/>
        </w:numPr>
      </w:pPr>
      <w:r>
        <w:rPr>
          <w:rFonts w:ascii="Calibri" w:hAnsi="Calibri"/>
          <w:color w:val="1F2937"/>
          <w:sz w:val="22"/>
        </w:rPr>
        <w:t>The main product gaps are secure multi-team operation, stable public contracts, governance, connector depth, fleet reporting, and release trust.</w:t>
      </w:r>
    </w:p>
    <w:p>
      <w:pPr>
        <w:numPr>
          <w:ilvl w:val="0"/>
          <w:numId w:val="100"/>
        </w:numPr>
      </w:pPr>
      <w:r>
        <w:rPr>
          <w:rFonts w:ascii="Calibri" w:hAnsi="Calibri"/>
          <w:color w:val="1F2937"/>
          <w:sz w:val="22"/>
        </w:rPr>
        <w:t>The current local UI must not be treated as a production web service until its security model is redesigned.</w:t>
      </w:r>
    </w:p>
    <w:p>
      <w:pPr>
        <w:pStyle w:val="Heading1"/>
      </w:pPr>
      <w:r>
        <w:t>2. Current repository position</w:t>
      </w:r>
    </w:p>
    <w:tbl>
      <w:tblPr>
        <w:tblStyle w:val="TableGrid"/>
        <w:tblW w:type="dxa" w:w="9360"/>
        <w:tblLayout w:type="fixed"/>
        <w:tblLook w:firstColumn="1" w:firstRow="1" w:lastColumn="0" w:lastRow="0" w:noHBand="0" w:noVBand="1" w:val="04A0"/>
        <w:tblInd w:w="120" w:type="dxa"/>
      </w:tblPr>
      <w:tblGrid>
        <w:gridCol w:w="1900"/>
        <w:gridCol w:w="4060"/>
        <w:gridCol w:w="3400"/>
      </w:tblGrid>
      <w:tr>
        <w:trPr>
          <w:cantSplit/>
          <w:tblHeader w:val="true"/>
        </w:trPr>
        <w:tc>
          <w:tcPr>
            <w:tcW w:type="dxa" w:w="1900"/>
            <w:tcMar>
              <w:top w:w="80" w:type="dxa"/>
              <w:bottom w:w="80" w:type="dxa"/>
              <w:start w:w="120" w:type="dxa"/>
              <w:end w:w="120" w:type="dxa"/>
            </w:tcMar>
            <w:vAlign w:val="center"/>
            <w:shd w:fill="F2F4F7"/>
          </w:tcPr>
          <w:p>
            <w:pPr>
              <w:spacing w:before="0" w:after="40" w:line="252" w:lineRule="auto"/>
            </w:pPr>
            <w:r>
              <w:rPr>
                <w:rFonts w:ascii="Calibri" w:hAnsi="Calibri"/>
                <w:b/>
                <w:color w:val="1F2937"/>
                <w:sz w:val="19"/>
              </w:rPr>
              <w:t>Area</w:t>
            </w:r>
          </w:p>
        </w:tc>
        <w:tc>
          <w:tcPr>
            <w:tcW w:type="dxa" w:w="4060"/>
            <w:tcMar>
              <w:top w:w="80" w:type="dxa"/>
              <w:bottom w:w="80" w:type="dxa"/>
              <w:start w:w="120" w:type="dxa"/>
              <w:end w:w="120" w:type="dxa"/>
            </w:tcMar>
            <w:vAlign w:val="center"/>
            <w:shd w:fill="F2F4F7"/>
          </w:tcPr>
          <w:p>
            <w:pPr>
              <w:spacing w:before="0" w:after="40" w:line="252" w:lineRule="auto"/>
            </w:pPr>
            <w:r>
              <w:rPr>
                <w:rFonts w:ascii="Calibri" w:hAnsi="Calibri"/>
                <w:b/>
                <w:color w:val="1F2937"/>
                <w:sz w:val="19"/>
              </w:rPr>
              <w:t>Current evidence</w:t>
            </w:r>
          </w:p>
        </w:tc>
        <w:tc>
          <w:tcPr>
            <w:tcW w:type="dxa" w:w="3400"/>
            <w:tcMar>
              <w:top w:w="80" w:type="dxa"/>
              <w:bottom w:w="80" w:type="dxa"/>
              <w:start w:w="120" w:type="dxa"/>
              <w:end w:w="120" w:type="dxa"/>
            </w:tcMar>
            <w:vAlign w:val="center"/>
            <w:shd w:fill="F2F4F7"/>
          </w:tcPr>
          <w:p>
            <w:pPr>
              <w:spacing w:before="0" w:after="40" w:line="252" w:lineRule="auto"/>
            </w:pPr>
            <w:r>
              <w:rPr>
                <w:rFonts w:ascii="Calibri" w:hAnsi="Calibri"/>
                <w:b/>
                <w:color w:val="1F2937"/>
                <w:sz w:val="19"/>
              </w:rPr>
              <w:t>Assessment</w:t>
            </w:r>
          </w:p>
        </w:tc>
      </w:tr>
      <w:tr>
        <w:trPr>
          <w:cantSplit/>
        </w:trPr>
        <w:tc>
          <w:tcPr>
            <w:tcW w:type="dxa" w:w="1900"/>
            <w:tcMar>
              <w:top w:w="80" w:type="dxa"/>
              <w:bottom w:w="80" w:type="dxa"/>
              <w:start w:w="120" w:type="dxa"/>
              <w:end w:w="120" w:type="dxa"/>
            </w:tcMar>
            <w:vAlign w:val="center"/>
          </w:tcPr>
          <w:p>
            <w:pPr>
              <w:spacing w:before="0" w:after="40" w:line="252" w:lineRule="auto"/>
            </w:pPr>
            <w:r>
              <w:rPr>
                <w:rFonts w:ascii="Calibri" w:hAnsi="Calibri"/>
                <w:b w:val="0"/>
                <w:color w:val="1F2937"/>
                <w:sz w:val="19"/>
              </w:rPr>
              <w:t>Rule engine</w:t>
            </w:r>
          </w:p>
        </w:tc>
        <w:tc>
          <w:tcPr>
            <w:tcW w:type="dxa" w:w="4060"/>
            <w:tcMar>
              <w:top w:w="80" w:type="dxa"/>
              <w:bottom w:w="80" w:type="dxa"/>
              <w:start w:w="120" w:type="dxa"/>
              <w:end w:w="120" w:type="dxa"/>
            </w:tcMar>
            <w:vAlign w:val="center"/>
          </w:tcPr>
          <w:p>
            <w:pPr>
              <w:spacing w:before="0" w:after="40" w:line="252" w:lineRule="auto"/>
            </w:pPr>
            <w:r>
              <w:rPr>
                <w:rFonts w:ascii="Calibri" w:hAnsi="Calibri"/>
                <w:b w:val="0"/>
                <w:color w:val="1F2937"/>
                <w:sz w:val="19"/>
              </w:rPr>
              <w:t>149 executable rules; 295 metadata definitions</w:t>
            </w:r>
          </w:p>
        </w:tc>
        <w:tc>
          <w:tcPr>
            <w:tcW w:type="dxa" w:w="3400"/>
            <w:tcMar>
              <w:top w:w="80" w:type="dxa"/>
              <w:bottom w:w="80" w:type="dxa"/>
              <w:start w:w="120" w:type="dxa"/>
              <w:end w:w="120" w:type="dxa"/>
            </w:tcMar>
            <w:vAlign w:val="center"/>
          </w:tcPr>
          <w:p>
            <w:pPr>
              <w:spacing w:before="0" w:after="40" w:line="252" w:lineRule="auto"/>
            </w:pPr>
            <w:r>
              <w:rPr>
                <w:rFonts w:ascii="Calibri" w:hAnsi="Calibri"/>
                <w:b w:val="0"/>
                <w:color w:val="1F2937"/>
                <w:sz w:val="19"/>
              </w:rPr>
              <w:t>Strong prototype foundation</w:t>
            </w:r>
          </w:p>
        </w:tc>
      </w:tr>
      <w:tr>
        <w:trPr>
          <w:cantSplit/>
        </w:trPr>
        <w:tc>
          <w:tcPr>
            <w:tcW w:type="dxa" w:w="1900"/>
            <w:tcMar>
              <w:top w:w="80" w:type="dxa"/>
              <w:bottom w:w="80" w:type="dxa"/>
              <w:start w:w="120" w:type="dxa"/>
              <w:end w:w="120" w:type="dxa"/>
            </w:tcMar>
            <w:vAlign w:val="center"/>
          </w:tcPr>
          <w:p>
            <w:pPr>
              <w:spacing w:before="0" w:after="40" w:line="252" w:lineRule="auto"/>
            </w:pPr>
            <w:r>
              <w:rPr>
                <w:rFonts w:ascii="Calibri" w:hAnsi="Calibri"/>
                <w:b w:val="0"/>
                <w:color w:val="1F2937"/>
                <w:sz w:val="19"/>
              </w:rPr>
              <w:t>Readiness packs</w:t>
            </w:r>
          </w:p>
        </w:tc>
        <w:tc>
          <w:tcPr>
            <w:tcW w:type="dxa" w:w="4060"/>
            <w:tcMar>
              <w:top w:w="80" w:type="dxa"/>
              <w:bottom w:w="80" w:type="dxa"/>
              <w:start w:w="120" w:type="dxa"/>
              <w:end w:w="120" w:type="dxa"/>
            </w:tcMar>
            <w:vAlign w:val="center"/>
          </w:tcPr>
          <w:p>
            <w:pPr>
              <w:spacing w:before="0" w:after="40" w:line="252" w:lineRule="auto"/>
            </w:pPr>
            <w:r>
              <w:rPr>
                <w:rFonts w:ascii="Calibri" w:hAnsi="Calibri"/>
                <w:b w:val="0"/>
                <w:color w:val="1F2937"/>
                <w:sz w:val="19"/>
              </w:rPr>
              <w:t>8 inspectable packs; all marked preview</w:t>
            </w:r>
          </w:p>
        </w:tc>
        <w:tc>
          <w:tcPr>
            <w:tcW w:type="dxa" w:w="3400"/>
            <w:tcMar>
              <w:top w:w="80" w:type="dxa"/>
              <w:bottom w:w="80" w:type="dxa"/>
              <w:start w:w="120" w:type="dxa"/>
              <w:end w:w="120" w:type="dxa"/>
            </w:tcMar>
            <w:vAlign w:val="center"/>
          </w:tcPr>
          <w:p>
            <w:pPr>
              <w:spacing w:before="0" w:after="40" w:line="252" w:lineRule="auto"/>
            </w:pPr>
            <w:r>
              <w:rPr>
                <w:rFonts w:ascii="Calibri" w:hAnsi="Calibri"/>
                <w:b w:val="0"/>
                <w:color w:val="1F2937"/>
                <w:sz w:val="19"/>
              </w:rPr>
              <w:t>Useful structure, maturity needs alignment</w:t>
            </w:r>
          </w:p>
        </w:tc>
      </w:tr>
      <w:tr>
        <w:trPr>
          <w:cantSplit/>
        </w:trPr>
        <w:tc>
          <w:tcPr>
            <w:tcW w:type="dxa" w:w="1900"/>
            <w:tcMar>
              <w:top w:w="80" w:type="dxa"/>
              <w:bottom w:w="80" w:type="dxa"/>
              <w:start w:w="120" w:type="dxa"/>
              <w:end w:w="120" w:type="dxa"/>
            </w:tcMar>
            <w:vAlign w:val="center"/>
          </w:tcPr>
          <w:p>
            <w:pPr>
              <w:spacing w:before="0" w:after="40" w:line="252" w:lineRule="auto"/>
            </w:pPr>
            <w:r>
              <w:rPr>
                <w:rFonts w:ascii="Calibri" w:hAnsi="Calibri"/>
                <w:b w:val="0"/>
                <w:color w:val="1F2937"/>
                <w:sz w:val="19"/>
              </w:rPr>
              <w:t>Domain coverage</w:t>
            </w:r>
          </w:p>
        </w:tc>
        <w:tc>
          <w:tcPr>
            <w:tcW w:type="dxa" w:w="4060"/>
            <w:tcMar>
              <w:top w:w="80" w:type="dxa"/>
              <w:bottom w:w="80" w:type="dxa"/>
              <w:start w:w="120" w:type="dxa"/>
              <w:end w:w="120" w:type="dxa"/>
            </w:tcMar>
            <w:vAlign w:val="center"/>
          </w:tcPr>
          <w:p>
            <w:pPr>
              <w:spacing w:before="0" w:after="40" w:line="252" w:lineRule="auto"/>
            </w:pPr>
            <w:r>
              <w:rPr>
                <w:rFonts w:ascii="Calibri" w:hAnsi="Calibri"/>
                <w:b w:val="0"/>
                <w:color w:val="1F2937"/>
                <w:sz w:val="19"/>
              </w:rPr>
              <w:t>Kafka, Kubernetes, cloud, CI/CD, storage, API, database, topology, flow</w:t>
            </w:r>
          </w:p>
        </w:tc>
        <w:tc>
          <w:tcPr>
            <w:tcW w:type="dxa" w:w="3400"/>
            <w:tcMar>
              <w:top w:w="80" w:type="dxa"/>
              <w:bottom w:w="80" w:type="dxa"/>
              <w:start w:w="120" w:type="dxa"/>
              <w:end w:w="120" w:type="dxa"/>
            </w:tcMar>
            <w:vAlign w:val="center"/>
          </w:tcPr>
          <w:p>
            <w:pPr>
              <w:spacing w:before="0" w:after="40" w:line="252" w:lineRule="auto"/>
            </w:pPr>
            <w:r>
              <w:rPr>
                <w:rFonts w:ascii="Calibri" w:hAnsi="Calibri"/>
                <w:b w:val="0"/>
                <w:color w:val="1F2937"/>
                <w:sz w:val="19"/>
              </w:rPr>
              <w:t>Broad static coverage; runtime depth varies</w:t>
            </w:r>
          </w:p>
        </w:tc>
      </w:tr>
      <w:tr>
        <w:trPr>
          <w:cantSplit/>
        </w:trPr>
        <w:tc>
          <w:tcPr>
            <w:tcW w:type="dxa" w:w="1900"/>
            <w:tcMar>
              <w:top w:w="80" w:type="dxa"/>
              <w:bottom w:w="80" w:type="dxa"/>
              <w:start w:w="120" w:type="dxa"/>
              <w:end w:w="120" w:type="dxa"/>
            </w:tcMar>
            <w:vAlign w:val="center"/>
          </w:tcPr>
          <w:p>
            <w:pPr>
              <w:spacing w:before="0" w:after="40" w:line="252" w:lineRule="auto"/>
            </w:pPr>
            <w:r>
              <w:rPr>
                <w:rFonts w:ascii="Calibri" w:hAnsi="Calibri"/>
                <w:b w:val="0"/>
                <w:color w:val="1F2937"/>
                <w:sz w:val="19"/>
              </w:rPr>
              <w:t>Automated tests</w:t>
            </w:r>
          </w:p>
        </w:tc>
        <w:tc>
          <w:tcPr>
            <w:tcW w:type="dxa" w:w="4060"/>
            <w:tcMar>
              <w:top w:w="80" w:type="dxa"/>
              <w:bottom w:w="80" w:type="dxa"/>
              <w:start w:w="120" w:type="dxa"/>
              <w:end w:w="120" w:type="dxa"/>
            </w:tcMar>
            <w:vAlign w:val="center"/>
          </w:tcPr>
          <w:p>
            <w:pPr>
              <w:spacing w:before="0" w:after="40" w:line="252" w:lineRule="auto"/>
            </w:pPr>
            <w:r>
              <w:rPr>
                <w:rFonts w:ascii="Calibri" w:hAnsi="Calibri"/>
                <w:b w:val="0"/>
                <w:color w:val="1F2937"/>
                <w:sz w:val="19"/>
              </w:rPr>
              <w:t>Approx. 83% line coverage in the reviewed worktree</w:t>
            </w:r>
          </w:p>
        </w:tc>
        <w:tc>
          <w:tcPr>
            <w:tcW w:type="dxa" w:w="3400"/>
            <w:tcMar>
              <w:top w:w="80" w:type="dxa"/>
              <w:bottom w:w="80" w:type="dxa"/>
              <w:start w:w="120" w:type="dxa"/>
              <w:end w:w="120" w:type="dxa"/>
            </w:tcMar>
            <w:vAlign w:val="center"/>
          </w:tcPr>
          <w:p>
            <w:pPr>
              <w:spacing w:before="0" w:after="40" w:line="252" w:lineRule="auto"/>
            </w:pPr>
            <w:r>
              <w:rPr>
                <w:rFonts w:ascii="Calibri" w:hAnsi="Calibri"/>
                <w:b w:val="0"/>
                <w:color w:val="1F2937"/>
                <w:sz w:val="19"/>
              </w:rPr>
              <w:t>Good base, but quality gates are not green</w:t>
            </w:r>
          </w:p>
        </w:tc>
      </w:tr>
      <w:tr>
        <w:trPr>
          <w:cantSplit/>
        </w:trPr>
        <w:tc>
          <w:tcPr>
            <w:tcW w:type="dxa" w:w="1900"/>
            <w:tcMar>
              <w:top w:w="80" w:type="dxa"/>
              <w:bottom w:w="80" w:type="dxa"/>
              <w:start w:w="120" w:type="dxa"/>
              <w:end w:w="120" w:type="dxa"/>
            </w:tcMar>
            <w:vAlign w:val="center"/>
          </w:tcPr>
          <w:p>
            <w:pPr>
              <w:spacing w:before="0" w:after="40" w:line="252" w:lineRule="auto"/>
            </w:pPr>
            <w:r>
              <w:rPr>
                <w:rFonts w:ascii="Calibri" w:hAnsi="Calibri"/>
                <w:b w:val="0"/>
                <w:color w:val="1F2937"/>
                <w:sz w:val="19"/>
              </w:rPr>
              <w:t>Distribution</w:t>
            </w:r>
          </w:p>
        </w:tc>
        <w:tc>
          <w:tcPr>
            <w:tcW w:type="dxa" w:w="4060"/>
            <w:tcMar>
              <w:top w:w="80" w:type="dxa"/>
              <w:bottom w:w="80" w:type="dxa"/>
              <w:start w:w="120" w:type="dxa"/>
              <w:end w:w="120" w:type="dxa"/>
            </w:tcMar>
            <w:vAlign w:val="center"/>
          </w:tcPr>
          <w:p>
            <w:pPr>
              <w:spacing w:before="0" w:after="40" w:line="252" w:lineRule="auto"/>
            </w:pPr>
            <w:r>
              <w:rPr>
                <w:rFonts w:ascii="Calibri" w:hAnsi="Calibri"/>
                <w:b w:val="0"/>
                <w:color w:val="1F2937"/>
                <w:sz w:val="19"/>
              </w:rPr>
              <w:t>Docker plus macOS, Linux, and Windows artifacts</w:t>
            </w:r>
          </w:p>
        </w:tc>
        <w:tc>
          <w:tcPr>
            <w:tcW w:type="dxa" w:w="3400"/>
            <w:tcMar>
              <w:top w:w="80" w:type="dxa"/>
              <w:bottom w:w="80" w:type="dxa"/>
              <w:start w:w="120" w:type="dxa"/>
              <w:end w:w="120" w:type="dxa"/>
            </w:tcMar>
            <w:vAlign w:val="center"/>
          </w:tcPr>
          <w:p>
            <w:pPr>
              <w:spacing w:before="0" w:after="40" w:line="252" w:lineRule="auto"/>
            </w:pPr>
            <w:r>
              <w:rPr>
                <w:rFonts w:ascii="Calibri" w:hAnsi="Calibri"/>
                <w:b w:val="0"/>
                <w:color w:val="1F2937"/>
                <w:sz w:val="19"/>
              </w:rPr>
              <w:t>Good reach; supply-chain hardening required</w:t>
            </w:r>
          </w:p>
        </w:tc>
      </w:tr>
      <w:tr>
        <w:trPr>
          <w:cantSplit/>
        </w:trPr>
        <w:tc>
          <w:tcPr>
            <w:tcW w:type="dxa" w:w="1900"/>
            <w:tcMar>
              <w:top w:w="80" w:type="dxa"/>
              <w:bottom w:w="80" w:type="dxa"/>
              <w:start w:w="120" w:type="dxa"/>
              <w:end w:w="120" w:type="dxa"/>
            </w:tcMar>
            <w:vAlign w:val="center"/>
          </w:tcPr>
          <w:p>
            <w:pPr>
              <w:spacing w:before="0" w:after="40" w:line="252" w:lineRule="auto"/>
            </w:pPr>
            <w:r>
              <w:rPr>
                <w:rFonts w:ascii="Calibri" w:hAnsi="Calibri"/>
                <w:b w:val="0"/>
                <w:color w:val="1F2937"/>
                <w:sz w:val="19"/>
              </w:rPr>
              <w:t>Interfaces</w:t>
            </w:r>
          </w:p>
        </w:tc>
        <w:tc>
          <w:tcPr>
            <w:tcW w:type="dxa" w:w="4060"/>
            <w:tcMar>
              <w:top w:w="80" w:type="dxa"/>
              <w:bottom w:w="80" w:type="dxa"/>
              <w:start w:w="120" w:type="dxa"/>
              <w:end w:w="120" w:type="dxa"/>
            </w:tcMar>
            <w:vAlign w:val="center"/>
          </w:tcPr>
          <w:p>
            <w:pPr>
              <w:spacing w:before="0" w:after="40" w:line="252" w:lineRule="auto"/>
            </w:pPr>
            <w:r>
              <w:rPr>
                <w:rFonts w:ascii="Calibri" w:hAnsi="Calibri"/>
                <w:b w:val="0"/>
                <w:color w:val="1F2937"/>
                <w:sz w:val="19"/>
              </w:rPr>
              <w:t>CLI, JSON, HTML, and local browser UI</w:t>
            </w:r>
          </w:p>
        </w:tc>
        <w:tc>
          <w:tcPr>
            <w:tcW w:type="dxa" w:w="3400"/>
            <w:tcMar>
              <w:top w:w="80" w:type="dxa"/>
              <w:bottom w:w="80" w:type="dxa"/>
              <w:start w:w="120" w:type="dxa"/>
              <w:end w:w="120" w:type="dxa"/>
            </w:tcMar>
            <w:vAlign w:val="center"/>
          </w:tcPr>
          <w:p>
            <w:pPr>
              <w:spacing w:before="0" w:after="40" w:line="252" w:lineRule="auto"/>
            </w:pPr>
            <w:r>
              <w:rPr>
                <w:rFonts w:ascii="Calibri" w:hAnsi="Calibri"/>
                <w:b w:val="0"/>
                <w:color w:val="1F2937"/>
                <w:sz w:val="19"/>
              </w:rPr>
              <w:t>CLI is productizable; UI is local-only</w:t>
            </w:r>
          </w:p>
        </w:tc>
      </w:tr>
    </w:tbl>
    <w:p>
      <w:pPr>
        <w:pStyle w:val="Heading1"/>
      </w:pPr>
      <w:r>
        <w:t>3. Immediate professional-product blockers</w:t>
      </w:r>
    </w:p>
    <w:p>
      <w:pPr>
        <w:spacing w:before="80"/>
      </w:pPr>
      <w:r>
        <w:rPr>
          <w:rFonts w:ascii="Calibri" w:hAnsi="Calibri"/>
          <w:b/>
          <w:color w:val="9B1C1C"/>
          <w:sz w:val="22"/>
        </w:rPr>
        <w:t xml:space="preserve">Secure shared UI. </w:t>
      </w:r>
      <w:r>
        <w:rPr>
          <w:rFonts w:ascii="Calibri" w:hAnsi="Calibri"/>
          <w:color w:val="1F2937"/>
          <w:sz w:val="22"/>
        </w:rPr>
        <w:t>The current ThreadingHTTPServer has no authentication, authorization, tenancy, TLS, CSRF protection, rate limiting, or audit trail. Multipart uploads have no explicit size ceiling, and temporary files are not deleted.</w:t>
      </w:r>
    </w:p>
    <w:p>
      <w:pPr>
        <w:spacing w:before="80"/>
      </w:pPr>
      <w:r>
        <w:rPr>
          <w:rFonts w:ascii="Calibri" w:hAnsi="Calibri"/>
          <w:b/>
          <w:color w:val="9B1C1C"/>
          <w:sz w:val="22"/>
        </w:rPr>
        <w:t xml:space="preserve">HTML report safety. </w:t>
      </w:r>
      <w:r>
        <w:rPr>
          <w:rFonts w:ascii="Calibri" w:hAnsi="Calibri"/>
          <w:color w:val="1F2937"/>
          <w:sz w:val="22"/>
        </w:rPr>
        <w:t>Jinja templates are rendered without an autoescaping environment. Findings derived from scanned files must be escaped, links sanitized, secrets redacted, and a restrictive Content Security Policy applied.</w:t>
      </w:r>
    </w:p>
    <w:p>
      <w:pPr>
        <w:spacing w:before="80"/>
      </w:pPr>
      <w:r>
        <w:rPr>
          <w:rFonts w:ascii="Calibri" w:hAnsi="Calibri"/>
          <w:b/>
          <w:color w:val="9B1C1C"/>
          <w:sz w:val="22"/>
        </w:rPr>
        <w:t xml:space="preserve">Green engineering gates. </w:t>
      </w:r>
      <w:r>
        <w:rPr>
          <w:rFonts w:ascii="Calibri" w:hAnsi="Calibri"/>
          <w:color w:val="1F2937"/>
          <w:sz w:val="22"/>
        </w:rPr>
        <w:t>The reviewed worktree has one substantive contract-test failure, 719 Ruff violations, and 41 mypy errors. CI does not enforce lint, typing, coverage thresholds, dependency audits, or security scans.</w:t>
      </w:r>
    </w:p>
    <w:p>
      <w:pPr>
        <w:spacing w:before="80"/>
      </w:pPr>
      <w:r>
        <w:rPr>
          <w:rFonts w:ascii="Calibri" w:hAnsi="Calibri"/>
          <w:b/>
          <w:color w:val="9B1C1C"/>
          <w:sz w:val="22"/>
        </w:rPr>
        <w:t xml:space="preserve">Stable product contracts. </w:t>
      </w:r>
      <w:r>
        <w:rPr>
          <w:rFonts w:ascii="Calibri" w:hAnsi="Calibri"/>
          <w:color w:val="1F2937"/>
          <w:sz w:val="22"/>
        </w:rPr>
        <w:t>Findings and summaries are largely unvalidated dictionaries. Public output needs schema versions, stable fingerprints, engine and pack versions, evidence timestamps, freshness, hashes, and collector provenance.</w:t>
      </w:r>
    </w:p>
    <w:p>
      <w:pPr>
        <w:spacing w:before="80"/>
      </w:pPr>
      <w:r>
        <w:rPr>
          <w:rFonts w:ascii="Calibri" w:hAnsi="Calibri"/>
          <w:b/>
          <w:color w:val="9B1C1C"/>
          <w:sz w:val="22"/>
        </w:rPr>
        <w:t xml:space="preserve">Supply-chain trust. </w:t>
      </w:r>
      <w:r>
        <w:rPr>
          <w:rFonts w:ascii="Calibri" w:hAnsi="Calibri"/>
          <w:color w:val="1F2937"/>
          <w:sz w:val="22"/>
        </w:rPr>
        <w:t>The repository lacks a complete license and security/community policy set, dependency locks, SBOMs, signatures, provenance attestations, vulnerability scanning, and SHA-pinned CI actions.</w:t>
      </w:r>
    </w:p>
    <w:p>
      <w:pPr>
        <w:spacing w:before="120" w:after="160" w:line="264" w:lineRule="auto"/>
        <w:ind w:left="115" w:right="115"/>
        <w:shd w:fill="FFF5F5"/>
        <w:pBdr>
          <w:left w:val="single" w:sz="18" w:space="8" w:color="9B1C1C"/>
        </w:pBdr>
      </w:pPr>
      <w:r>
        <w:rPr>
          <w:rFonts w:ascii="Calibri" w:hAnsi="Calibri"/>
          <w:b/>
          <w:color w:val="9B1C1C"/>
          <w:sz w:val="22"/>
        </w:rPr>
        <w:t xml:space="preserve">Safety boundary: </w:t>
      </w:r>
      <w:r>
        <w:rPr>
          <w:rFonts w:ascii="Calibri" w:hAnsi="Calibri"/>
          <w:color w:val="1F2937"/>
          <w:sz w:val="22"/>
        </w:rPr>
        <w:t>Until these issues are addressed, publish Beacon as a local CLI/container runner. Do not deploy the existing browser UI as a shared internal service.</w:t>
      </w:r>
    </w:p>
    <w:p>
      <w:pPr>
        <w:pStyle w:val="Heading1"/>
      </w:pPr>
      <w:r>
        <w:t>4. Target product model</w:t>
      </w:r>
    </w:p>
    <w:p>
      <w:r>
        <w:rPr>
          <w:rFonts w:ascii="Calibri" w:hAnsi="Calibri"/>
          <w:color w:val="1F2937"/>
          <w:sz w:val="22"/>
        </w:rPr>
        <w:t>A professional Beacon product should have four separable layers:</w:t>
      </w:r>
    </w:p>
    <w:p>
      <w:pPr>
        <w:numPr>
          <w:ilvl w:val="0"/>
          <w:numId w:val="101"/>
        </w:numPr>
      </w:pPr>
      <w:r>
        <w:rPr>
          <w:rFonts w:ascii="Calibri" w:hAnsi="Calibri"/>
          <w:color w:val="1F2937"/>
          <w:sz w:val="22"/>
        </w:rPr>
        <w:t>Beacon core: deterministic normalization, rule evaluation, correlation, scoring, evidence, and policy application.</w:t>
      </w:r>
    </w:p>
    <w:p>
      <w:pPr>
        <w:numPr>
          <w:ilvl w:val="0"/>
          <w:numId w:val="101"/>
        </w:numPr>
      </w:pPr>
      <w:r>
        <w:rPr>
          <w:rFonts w:ascii="Calibri" w:hAnsi="Calibri"/>
          <w:color w:val="1F2937"/>
          <w:sz w:val="22"/>
        </w:rPr>
        <w:t>Read-only runners: execute close to private infrastructure using short-lived, least-privilege credentials.</w:t>
      </w:r>
    </w:p>
    <w:p>
      <w:pPr>
        <w:numPr>
          <w:ilvl w:val="0"/>
          <w:numId w:val="101"/>
        </w:numPr>
      </w:pPr>
      <w:r>
        <w:rPr>
          <w:rFonts w:ascii="Calibri" w:hAnsi="Calibri"/>
          <w:color w:val="1F2937"/>
          <w:sz w:val="22"/>
        </w:rPr>
        <w:t>Control plane: provide SSO, RBAC, service ownership, policies, scheduling, history, approvals, and fleet scorecards.</w:t>
      </w:r>
    </w:p>
    <w:p>
      <w:pPr>
        <w:numPr>
          <w:ilvl w:val="0"/>
          <w:numId w:val="101"/>
        </w:numPr>
      </w:pPr>
      <w:r>
        <w:rPr>
          <w:rFonts w:ascii="Calibri" w:hAnsi="Calibri"/>
          <w:color w:val="1F2937"/>
          <w:sz w:val="22"/>
        </w:rPr>
        <w:t>Integrations: connect CI/CD, service catalogs, cloud platforms, Kubernetes, Kafka, and existing telemetry backends.</w:t>
      </w:r>
    </w:p>
    <w:p>
      <w:pPr>
        <w:spacing w:before="120" w:after="160" w:line="264" w:lineRule="auto"/>
        <w:ind w:left="115" w:right="115"/>
        <w:shd w:fill="F3F7FB"/>
        <w:pBdr>
          <w:left w:val="single" w:sz="18" w:space="8" w:color="1F4D78"/>
        </w:pBdr>
      </w:pPr>
      <w:r>
        <w:rPr>
          <w:rFonts w:ascii="Calibri" w:hAnsi="Calibri"/>
          <w:b/>
          <w:color w:val="1F4D78"/>
          <w:sz w:val="22"/>
        </w:rPr>
        <w:t xml:space="preserve">Operating principle: </w:t>
      </w:r>
      <w:r>
        <w:rPr>
          <w:rFonts w:ascii="Calibri" w:hAnsi="Calibri"/>
          <w:color w:val="1F2937"/>
          <w:sz w:val="22"/>
        </w:rPr>
        <w:t>Telemetry remains in Prometheus, Grafana, OpenTelemetry backends, log systems, cloud platforms, and service catalogs. Beacon queries the evidence required for a review and stores only governed assessment results and provenance.</w:t>
      </w:r>
    </w:p>
    <w:p>
      <w:pPr>
        <w:pStyle w:val="Heading1"/>
      </w:pPr>
      <w:r>
        <w:t>5. Complete product-readiness scorecard</w:t>
      </w:r>
    </w:p>
    <w:p>
      <w:r>
        <w:rPr>
          <w:rFonts w:ascii="Calibri" w:hAnsi="Calibri"/>
          <w:color w:val="1F2937"/>
          <w:sz w:val="22"/>
        </w:rPr>
        <w:t>Create tier-aware service profiles covering the following dimensions:</w:t>
      </w:r>
    </w:p>
    <w:p>
      <w:pPr>
        <w:numPr>
          <w:ilvl w:val="0"/>
          <w:numId w:val="100"/>
        </w:numPr>
      </w:pPr>
      <w:r>
        <w:rPr>
          <w:rFonts w:ascii="Calibri" w:hAnsi="Calibri"/>
          <w:color w:val="1F2937"/>
          <w:sz w:val="22"/>
        </w:rPr>
        <w:t>Ownership and service catalog completeness</w:t>
      </w:r>
    </w:p>
    <w:p>
      <w:pPr>
        <w:numPr>
          <w:ilvl w:val="0"/>
          <w:numId w:val="100"/>
        </w:numPr>
      </w:pPr>
      <w:r>
        <w:rPr>
          <w:rFonts w:ascii="Calibri" w:hAnsi="Calibri"/>
          <w:color w:val="1F2937"/>
          <w:sz w:val="22"/>
        </w:rPr>
        <w:t>Availability objectives, SLIs, SLOs, and error budgets</w:t>
      </w:r>
    </w:p>
    <w:p>
      <w:pPr>
        <w:numPr>
          <w:ilvl w:val="0"/>
          <w:numId w:val="100"/>
        </w:numPr>
      </w:pPr>
      <w:r>
        <w:rPr>
          <w:rFonts w:ascii="Calibri" w:hAnsi="Calibri"/>
          <w:color w:val="1F2937"/>
          <w:sz w:val="22"/>
        </w:rPr>
        <w:t>Capacity, quotas, scaling, and traffic headroom</w:t>
      </w:r>
    </w:p>
    <w:p>
      <w:pPr>
        <w:numPr>
          <w:ilvl w:val="0"/>
          <w:numId w:val="100"/>
        </w:numPr>
      </w:pPr>
      <w:r>
        <w:rPr>
          <w:rFonts w:ascii="Calibri" w:hAnsi="Calibri"/>
          <w:color w:val="1F2937"/>
          <w:sz w:val="22"/>
        </w:rPr>
        <w:t>Resilience, redundancy, and failure-domain isolation</w:t>
      </w:r>
    </w:p>
    <w:p>
      <w:pPr>
        <w:numPr>
          <w:ilvl w:val="0"/>
          <w:numId w:val="100"/>
        </w:numPr>
      </w:pPr>
      <w:r>
        <w:rPr>
          <w:rFonts w:ascii="Calibri" w:hAnsi="Calibri"/>
          <w:color w:val="1F2937"/>
          <w:sz w:val="22"/>
        </w:rPr>
        <w:t>Deployment controls, progressive delivery, and rollback safety</w:t>
      </w:r>
    </w:p>
    <w:p>
      <w:pPr>
        <w:numPr>
          <w:ilvl w:val="0"/>
          <w:numId w:val="100"/>
        </w:numPr>
      </w:pPr>
      <w:r>
        <w:rPr>
          <w:rFonts w:ascii="Calibri" w:hAnsi="Calibri"/>
          <w:color w:val="1F2937"/>
          <w:sz w:val="22"/>
        </w:rPr>
        <w:t>Security, identity, secrets, network exposure, and supply chain</w:t>
      </w:r>
    </w:p>
    <w:p>
      <w:pPr>
        <w:numPr>
          <w:ilvl w:val="0"/>
          <w:numId w:val="100"/>
        </w:numPr>
      </w:pPr>
      <w:r>
        <w:rPr>
          <w:rFonts w:ascii="Calibri" w:hAnsi="Calibri"/>
          <w:color w:val="1F2937"/>
          <w:sz w:val="22"/>
        </w:rPr>
        <w:t>Data protection, backups, restore testing, RTO, and RPO</w:t>
      </w:r>
    </w:p>
    <w:p>
      <w:pPr>
        <w:numPr>
          <w:ilvl w:val="0"/>
          <w:numId w:val="100"/>
        </w:numPr>
      </w:pPr>
      <w:r>
        <w:rPr>
          <w:rFonts w:ascii="Calibri" w:hAnsi="Calibri"/>
          <w:color w:val="1F2937"/>
          <w:sz w:val="22"/>
        </w:rPr>
        <w:t>Dependencies, critical flows, and blast-radius management</w:t>
      </w:r>
    </w:p>
    <w:p>
      <w:pPr>
        <w:numPr>
          <w:ilvl w:val="0"/>
          <w:numId w:val="100"/>
        </w:numPr>
      </w:pPr>
      <w:r>
        <w:rPr>
          <w:rFonts w:ascii="Calibri" w:hAnsi="Calibri"/>
          <w:color w:val="1F2937"/>
          <w:sz w:val="22"/>
        </w:rPr>
        <w:t>Observability coverage and telemetry quality</w:t>
      </w:r>
    </w:p>
    <w:p>
      <w:pPr>
        <w:numPr>
          <w:ilvl w:val="0"/>
          <w:numId w:val="100"/>
        </w:numPr>
      </w:pPr>
      <w:r>
        <w:rPr>
          <w:rFonts w:ascii="Calibri" w:hAnsi="Calibri"/>
          <w:color w:val="1F2937"/>
          <w:sz w:val="22"/>
        </w:rPr>
        <w:t>Incident response, ownership, escalation, and runbooks</w:t>
      </w:r>
    </w:p>
    <w:p>
      <w:pPr>
        <w:numPr>
          <w:ilvl w:val="0"/>
          <w:numId w:val="100"/>
        </w:numPr>
      </w:pPr>
      <w:r>
        <w:rPr>
          <w:rFonts w:ascii="Calibri" w:hAnsi="Calibri"/>
          <w:color w:val="1F2937"/>
          <w:sz w:val="22"/>
        </w:rPr>
        <w:t>Cost, retention, and resource sustainability</w:t>
      </w:r>
    </w:p>
    <w:p>
      <w:pPr>
        <w:numPr>
          <w:ilvl w:val="0"/>
          <w:numId w:val="100"/>
        </w:numPr>
      </w:pPr>
      <w:r>
        <w:rPr>
          <w:rFonts w:ascii="Calibri" w:hAnsi="Calibri"/>
          <w:color w:val="1F2937"/>
          <w:sz w:val="22"/>
        </w:rPr>
        <w:t>Compliance controls and auditable evidence</w:t>
      </w:r>
    </w:p>
    <w:p>
      <w:r>
        <w:rPr>
          <w:rFonts w:ascii="Calibri" w:hAnsi="Calibri"/>
          <w:color w:val="1F2937"/>
          <w:sz w:val="22"/>
        </w:rPr>
        <w:t>Thresholds must depend on service tier and environment. A tier-0 payment service should not inherit the same requirements as a development utility.</w:t>
      </w:r>
    </w:p>
    <w:p>
      <w:pPr>
        <w:pStyle w:val="Heading1"/>
      </w:pPr>
      <w:r>
        <w:t>6. Full observability-review capability</w:t>
      </w:r>
    </w:p>
    <w:p>
      <w:r>
        <w:rPr>
          <w:rFonts w:ascii="Calibri" w:hAnsi="Calibri"/>
          <w:color w:val="1F2937"/>
          <w:sz w:val="22"/>
        </w:rPr>
        <w:t>The observability review should assess whether teams can detect, understand, and safely respond to failure. It should not merely verify that telemetry exists.</w:t>
      </w:r>
    </w:p>
    <w:p>
      <w:pPr>
        <w:numPr>
          <w:ilvl w:val="0"/>
          <w:numId w:val="100"/>
        </w:numPr>
      </w:pPr>
      <w:r>
        <w:rPr>
          <w:rFonts w:ascii="Calibri" w:hAnsi="Calibri"/>
          <w:color w:val="1F2937"/>
          <w:sz w:val="22"/>
        </w:rPr>
        <w:t>SLI and SLO presence, correctness, ownership, and critical-journey alignment</w:t>
      </w:r>
    </w:p>
    <w:p>
      <w:pPr>
        <w:numPr>
          <w:ilvl w:val="0"/>
          <w:numId w:val="100"/>
        </w:numPr>
      </w:pPr>
      <w:r>
        <w:rPr>
          <w:rFonts w:ascii="Calibri" w:hAnsi="Calibri"/>
          <w:color w:val="1F2937"/>
          <w:sz w:val="22"/>
        </w:rPr>
        <w:t>Error-budget status and multi-window burn-rate alerts</w:t>
      </w:r>
    </w:p>
    <w:p>
      <w:pPr>
        <w:numPr>
          <w:ilvl w:val="0"/>
          <w:numId w:val="100"/>
        </w:numPr>
      </w:pPr>
      <w:r>
        <w:rPr>
          <w:rFonts w:ascii="Calibri" w:hAnsi="Calibri"/>
          <w:color w:val="1F2937"/>
          <w:sz w:val="22"/>
        </w:rPr>
        <w:t>Alert coverage, severity, routing, deduplication, ownership, and noise</w:t>
      </w:r>
    </w:p>
    <w:p>
      <w:pPr>
        <w:numPr>
          <w:ilvl w:val="0"/>
          <w:numId w:val="100"/>
        </w:numPr>
      </w:pPr>
      <w:r>
        <w:rPr>
          <w:rFonts w:ascii="Calibri" w:hAnsi="Calibri"/>
          <w:color w:val="1F2937"/>
          <w:sz w:val="22"/>
        </w:rPr>
        <w:t>Dashboard and runbook availability for critical services and dependencies</w:t>
      </w:r>
    </w:p>
    <w:p>
      <w:pPr>
        <w:numPr>
          <w:ilvl w:val="0"/>
          <w:numId w:val="100"/>
        </w:numPr>
      </w:pPr>
      <w:r>
        <w:rPr>
          <w:rFonts w:ascii="Calibri" w:hAnsi="Calibri"/>
          <w:color w:val="1F2937"/>
          <w:sz w:val="22"/>
        </w:rPr>
        <w:t>Trace-context propagation across APIs, queues, Kafka, workers, and databases</w:t>
      </w:r>
    </w:p>
    <w:p>
      <w:pPr>
        <w:numPr>
          <w:ilvl w:val="0"/>
          <w:numId w:val="100"/>
        </w:numPr>
      </w:pPr>
      <w:r>
        <w:rPr>
          <w:rFonts w:ascii="Calibri" w:hAnsi="Calibri"/>
          <w:color w:val="1F2937"/>
          <w:sz w:val="22"/>
        </w:rPr>
        <w:t>Metrics cardinality, label quality, unit consistency, and freshness</w:t>
      </w:r>
    </w:p>
    <w:p>
      <w:pPr>
        <w:numPr>
          <w:ilvl w:val="0"/>
          <w:numId w:val="100"/>
        </w:numPr>
      </w:pPr>
      <w:r>
        <w:rPr>
          <w:rFonts w:ascii="Calibri" w:hAnsi="Calibri"/>
          <w:color w:val="1F2937"/>
          <w:sz w:val="22"/>
        </w:rPr>
        <w:t>Sampling adequacy and telemetry-pipeline health</w:t>
      </w:r>
    </w:p>
    <w:p>
      <w:pPr>
        <w:numPr>
          <w:ilvl w:val="0"/>
          <w:numId w:val="100"/>
        </w:numPr>
      </w:pPr>
      <w:r>
        <w:rPr>
          <w:rFonts w:ascii="Calibri" w:hAnsi="Calibri"/>
          <w:color w:val="1F2937"/>
          <w:sz w:val="22"/>
        </w:rPr>
        <w:t>Structured logging, correlation identifiers, and exception context</w:t>
      </w:r>
    </w:p>
    <w:p>
      <w:pPr>
        <w:numPr>
          <w:ilvl w:val="0"/>
          <w:numId w:val="100"/>
        </w:numPr>
      </w:pPr>
      <w:r>
        <w:rPr>
          <w:rFonts w:ascii="Calibri" w:hAnsi="Calibri"/>
          <w:color w:val="1F2937"/>
          <w:sz w:val="22"/>
        </w:rPr>
        <w:t>PII, secrets, and sensitive data leakage into telemetry</w:t>
      </w:r>
    </w:p>
    <w:p>
      <w:pPr>
        <w:numPr>
          <w:ilvl w:val="0"/>
          <w:numId w:val="100"/>
        </w:numPr>
      </w:pPr>
      <w:r>
        <w:rPr>
          <w:rFonts w:ascii="Calibri" w:hAnsi="Calibri"/>
          <w:color w:val="1F2937"/>
          <w:sz w:val="22"/>
        </w:rPr>
        <w:t>Retention, access controls, and telemetry cost governance</w:t>
      </w:r>
    </w:p>
    <w:p>
      <w:pPr>
        <w:numPr>
          <w:ilvl w:val="0"/>
          <w:numId w:val="100"/>
        </w:numPr>
      </w:pPr>
      <w:r>
        <w:rPr>
          <w:rFonts w:ascii="Calibri" w:hAnsi="Calibri"/>
          <w:color w:val="1F2937"/>
          <w:sz w:val="22"/>
        </w:rPr>
        <w:t>Synthetic monitoring and business-flow coverage</w:t>
      </w:r>
    </w:p>
    <w:p>
      <w:pPr>
        <w:numPr>
          <w:ilvl w:val="0"/>
          <w:numId w:val="100"/>
        </w:numPr>
      </w:pPr>
      <w:r>
        <w:rPr>
          <w:rFonts w:ascii="Calibri" w:hAnsi="Calibri"/>
          <w:color w:val="1F2937"/>
          <w:sz w:val="22"/>
        </w:rPr>
        <w:t>Deployment annotations and before/after regression analysis</w:t>
      </w:r>
    </w:p>
    <w:p>
      <w:r>
        <w:rPr>
          <w:rFonts w:ascii="Calibri" w:hAnsi="Calibri"/>
          <w:color w:val="1F2937"/>
          <w:sz w:val="22"/>
        </w:rPr>
        <w:t>Prioritized backend integrations should include Prometheus/Mimir/Thanos, Grafana, OpenTelemetry, Tempo/Jaeger, Loki/Elastic/Splunk, cloud monitoring platforms, and deployment-event sources.</w:t>
      </w:r>
    </w:p>
    <w:p>
      <w:pPr>
        <w:pStyle w:val="Heading1"/>
      </w:pPr>
      <w:r>
        <w:t>7. Organization-wide control plane</w:t>
      </w:r>
    </w:p>
    <w:p>
      <w:pPr>
        <w:numPr>
          <w:ilvl w:val="0"/>
          <w:numId w:val="100"/>
        </w:numPr>
      </w:pPr>
      <w:r>
        <w:rPr>
          <w:rFonts w:ascii="Calibri" w:hAnsi="Calibri"/>
          <w:color w:val="1F2937"/>
          <w:sz w:val="22"/>
        </w:rPr>
        <w:t>Organizations, teams, services, environments, criticality tiers, and ownership</w:t>
      </w:r>
    </w:p>
    <w:p>
      <w:pPr>
        <w:numPr>
          <w:ilvl w:val="0"/>
          <w:numId w:val="100"/>
        </w:numPr>
      </w:pPr>
      <w:r>
        <w:rPr>
          <w:rFonts w:ascii="Calibri" w:hAnsi="Calibri"/>
          <w:color w:val="1F2937"/>
          <w:sz w:val="22"/>
        </w:rPr>
        <w:t>OIDC/SAML single sign-on and role-based access control</w:t>
      </w:r>
    </w:p>
    <w:p>
      <w:pPr>
        <w:numPr>
          <w:ilvl w:val="0"/>
          <w:numId w:val="100"/>
        </w:numPr>
      </w:pPr>
      <w:r>
        <w:rPr>
          <w:rFonts w:ascii="Calibri" w:hAnsi="Calibri"/>
          <w:color w:val="1F2937"/>
          <w:sz w:val="22"/>
        </w:rPr>
        <w:t>Scoped connector credentials backed by an enterprise secret manager</w:t>
      </w:r>
    </w:p>
    <w:p>
      <w:pPr>
        <w:numPr>
          <w:ilvl w:val="0"/>
          <w:numId w:val="100"/>
        </w:numPr>
      </w:pPr>
      <w:r>
        <w:rPr>
          <w:rFonts w:ascii="Calibri" w:hAnsi="Calibri"/>
          <w:color w:val="1F2937"/>
          <w:sz w:val="22"/>
        </w:rPr>
        <w:t>Tamper-evident audit logs and assessment history</w:t>
      </w:r>
    </w:p>
    <w:p>
      <w:pPr>
        <w:numPr>
          <w:ilvl w:val="0"/>
          <w:numId w:val="100"/>
        </w:numPr>
      </w:pPr>
      <w:r>
        <w:rPr>
          <w:rFonts w:ascii="Calibri" w:hAnsi="Calibri"/>
          <w:color w:val="1F2937"/>
          <w:sz w:val="22"/>
        </w:rPr>
        <w:t>Scheduled assessments and event-driven checks</w:t>
      </w:r>
    </w:p>
    <w:p>
      <w:pPr>
        <w:numPr>
          <w:ilvl w:val="0"/>
          <w:numId w:val="100"/>
        </w:numPr>
      </w:pPr>
      <w:r>
        <w:rPr>
          <w:rFonts w:ascii="Calibri" w:hAnsi="Calibri"/>
          <w:color w:val="1F2937"/>
          <w:sz w:val="22"/>
        </w:rPr>
        <w:t>Portfolio, team, service, and environment scorecards</w:t>
      </w:r>
    </w:p>
    <w:p>
      <w:pPr>
        <w:numPr>
          <w:ilvl w:val="0"/>
          <w:numId w:val="100"/>
        </w:numPr>
      </w:pPr>
      <w:r>
        <w:rPr>
          <w:rFonts w:ascii="Calibri" w:hAnsi="Calibri"/>
          <w:color w:val="1F2937"/>
          <w:sz w:val="22"/>
        </w:rPr>
        <w:t>Central policy inheritance with constrained team-level overrides</w:t>
      </w:r>
    </w:p>
    <w:p>
      <w:pPr>
        <w:numPr>
          <w:ilvl w:val="0"/>
          <w:numId w:val="100"/>
        </w:numPr>
      </w:pPr>
      <w:r>
        <w:rPr>
          <w:rFonts w:ascii="Calibri" w:hAnsi="Calibri"/>
          <w:color w:val="1F2937"/>
          <w:sz w:val="22"/>
        </w:rPr>
        <w:t>Waiver request, approval, expiry, evidence, and periodic review workflow</w:t>
      </w:r>
    </w:p>
    <w:p>
      <w:pPr>
        <w:numPr>
          <w:ilvl w:val="0"/>
          <w:numId w:val="100"/>
        </w:numPr>
      </w:pPr>
      <w:r>
        <w:rPr>
          <w:rFonts w:ascii="Calibri" w:hAnsi="Calibri"/>
          <w:color w:val="1F2937"/>
          <w:sz w:val="22"/>
        </w:rPr>
        <w:t>Private-network runners with outbound-only control-plane communication</w:t>
      </w:r>
    </w:p>
    <w:p>
      <w:pPr>
        <w:numPr>
          <w:ilvl w:val="0"/>
          <w:numId w:val="100"/>
        </w:numPr>
      </w:pPr>
      <w:r>
        <w:rPr>
          <w:rFonts w:ascii="Calibri" w:hAnsi="Calibri"/>
          <w:color w:val="1F2937"/>
          <w:sz w:val="22"/>
        </w:rPr>
        <w:t>Retention, deletion, export, and data-classification controls</w:t>
      </w:r>
    </w:p>
    <w:p>
      <w:pPr>
        <w:pStyle w:val="Heading1"/>
      </w:pPr>
      <w:r>
        <w:t>8. Evidence and governance contract</w:t>
      </w:r>
    </w:p>
    <w:p>
      <w:pPr>
        <w:numPr>
          <w:ilvl w:val="0"/>
          <w:numId w:val="100"/>
        </w:numPr>
      </w:pPr>
      <w:r>
        <w:rPr>
          <w:rFonts w:ascii="Calibri" w:hAnsi="Calibri"/>
          <w:color w:val="1F2937"/>
          <w:sz w:val="22"/>
        </w:rPr>
        <w:t>schema_version, engine_version, connector_version, and pack versions</w:t>
      </w:r>
    </w:p>
    <w:p>
      <w:pPr>
        <w:numPr>
          <w:ilvl w:val="0"/>
          <w:numId w:val="100"/>
        </w:numPr>
      </w:pPr>
      <w:r>
        <w:rPr>
          <w:rFonts w:ascii="Calibri" w:hAnsi="Calibri"/>
          <w:color w:val="1F2937"/>
          <w:sz w:val="22"/>
        </w:rPr>
        <w:t>stable finding fingerprint and resource identity</w:t>
      </w:r>
    </w:p>
    <w:p>
      <w:pPr>
        <w:numPr>
          <w:ilvl w:val="0"/>
          <w:numId w:val="100"/>
        </w:numPr>
      </w:pPr>
      <w:r>
        <w:rPr>
          <w:rFonts w:ascii="Calibri" w:hAnsi="Calibri"/>
          <w:color w:val="1F2937"/>
          <w:sz w:val="22"/>
        </w:rPr>
        <w:t>source type, source hash, collection time, and evidence freshness</w:t>
      </w:r>
    </w:p>
    <w:p>
      <w:pPr>
        <w:numPr>
          <w:ilvl w:val="0"/>
          <w:numId w:val="100"/>
        </w:numPr>
      </w:pPr>
      <w:r>
        <w:rPr>
          <w:rFonts w:ascii="Calibri" w:hAnsi="Calibri"/>
          <w:color w:val="1F2937"/>
          <w:sz w:val="22"/>
        </w:rPr>
        <w:t>confidence, coverage, missing evidence, and analysis-blocking errors</w:t>
      </w:r>
    </w:p>
    <w:p>
      <w:pPr>
        <w:numPr>
          <w:ilvl w:val="0"/>
          <w:numId w:val="100"/>
        </w:numPr>
      </w:pPr>
      <w:r>
        <w:rPr>
          <w:rFonts w:ascii="Calibri" w:hAnsi="Calibri"/>
          <w:color w:val="1F2937"/>
          <w:sz w:val="22"/>
        </w:rPr>
        <w:t>owner, service, environment, criticality tier, and business flow</w:t>
      </w:r>
    </w:p>
    <w:p>
      <w:pPr>
        <w:numPr>
          <w:ilvl w:val="0"/>
          <w:numId w:val="100"/>
        </w:numPr>
      </w:pPr>
      <w:r>
        <w:rPr>
          <w:rFonts w:ascii="Calibri" w:hAnsi="Calibri"/>
          <w:color w:val="1F2937"/>
          <w:sz w:val="22"/>
        </w:rPr>
        <w:t>policy source, waiver identity, approver, reason, scope, and expiry</w:t>
      </w:r>
    </w:p>
    <w:p>
      <w:pPr>
        <w:numPr>
          <w:ilvl w:val="0"/>
          <w:numId w:val="100"/>
        </w:numPr>
      </w:pPr>
      <w:r>
        <w:rPr>
          <w:rFonts w:ascii="Calibri" w:hAnsi="Calibri"/>
          <w:color w:val="1F2937"/>
          <w:sz w:val="22"/>
        </w:rPr>
        <w:t>report signature, attestation, and immutable artifact identifier</w:t>
      </w:r>
    </w:p>
    <w:p>
      <w:r>
        <w:rPr>
          <w:rFonts w:ascii="Calibri" w:hAnsi="Calibri"/>
          <w:color w:val="1F2937"/>
          <w:sz w:val="22"/>
        </w:rPr>
        <w:t>Implement these contracts using versioned JSON Schemas or typed Pydantic models. Publish a compatibility policy and contract tests for every supported output.</w:t>
      </w:r>
    </w:p>
    <w:p>
      <w:pPr>
        <w:pStyle w:val="Heading1"/>
      </w:pPr>
      <w:r>
        <w:t>9. Extensible and governed readiness packs</w:t>
      </w:r>
    </w:p>
    <w:p>
      <w:pPr>
        <w:numPr>
          <w:ilvl w:val="0"/>
          <w:numId w:val="100"/>
        </w:numPr>
      </w:pPr>
      <w:r>
        <w:rPr>
          <w:rFonts w:ascii="Calibri" w:hAnsi="Calibri"/>
          <w:color w:val="1F2937"/>
          <w:sz w:val="22"/>
        </w:rPr>
        <w:t>Validated manifest schema and semantic versioning</w:t>
      </w:r>
    </w:p>
    <w:p>
      <w:pPr>
        <w:numPr>
          <w:ilvl w:val="0"/>
          <w:numId w:val="100"/>
        </w:numPr>
      </w:pPr>
      <w:r>
        <w:rPr>
          <w:rFonts w:ascii="Calibri" w:hAnsi="Calibri"/>
          <w:color w:val="1F2937"/>
          <w:sz w:val="22"/>
        </w:rPr>
        <w:t>Minimum and maximum supported Beacon engine versions</w:t>
      </w:r>
    </w:p>
    <w:p>
      <w:pPr>
        <w:numPr>
          <w:ilvl w:val="0"/>
          <w:numId w:val="100"/>
        </w:numPr>
      </w:pPr>
      <w:r>
        <w:rPr>
          <w:rFonts w:ascii="Calibri" w:hAnsi="Calibri"/>
          <w:color w:val="1F2937"/>
          <w:sz w:val="22"/>
        </w:rPr>
        <w:t>Named owners, maturity status, support tier, and deprecation policy</w:t>
      </w:r>
    </w:p>
    <w:p>
      <w:pPr>
        <w:numPr>
          <w:ilvl w:val="0"/>
          <w:numId w:val="100"/>
        </w:numPr>
      </w:pPr>
      <w:r>
        <w:rPr>
          <w:rFonts w:ascii="Calibri" w:hAnsi="Calibri"/>
          <w:color w:val="1F2937"/>
          <w:sz w:val="22"/>
        </w:rPr>
        <w:t>Test fixtures with expected findings and scoring outcomes</w:t>
      </w:r>
    </w:p>
    <w:p>
      <w:pPr>
        <w:numPr>
          <w:ilvl w:val="0"/>
          <w:numId w:val="100"/>
        </w:numPr>
      </w:pPr>
      <w:r>
        <w:rPr>
          <w:rFonts w:ascii="Calibri" w:hAnsi="Calibri"/>
          <w:color w:val="1F2937"/>
          <w:sz w:val="22"/>
        </w:rPr>
        <w:t>Signed pack bundles and provenance</w:t>
      </w:r>
    </w:p>
    <w:p>
      <w:pPr>
        <w:numPr>
          <w:ilvl w:val="0"/>
          <w:numId w:val="100"/>
        </w:numPr>
      </w:pPr>
      <w:r>
        <w:rPr>
          <w:rFonts w:ascii="Calibri" w:hAnsi="Calibri"/>
          <w:color w:val="1F2937"/>
          <w:sz w:val="22"/>
        </w:rPr>
        <w:t>Declarative threshold rules for safe organization customization</w:t>
      </w:r>
    </w:p>
    <w:p>
      <w:pPr>
        <w:numPr>
          <w:ilvl w:val="0"/>
          <w:numId w:val="100"/>
        </w:numPr>
      </w:pPr>
      <w:r>
        <w:rPr>
          <w:rFonts w:ascii="Calibri" w:hAnsi="Calibri"/>
          <w:color w:val="1F2937"/>
          <w:sz w:val="22"/>
        </w:rPr>
        <w:t>Sandboxed extension API for executable custom rules</w:t>
      </w:r>
    </w:p>
    <w:p>
      <w:pPr>
        <w:numPr>
          <w:ilvl w:val="0"/>
          <w:numId w:val="100"/>
        </w:numPr>
      </w:pPr>
      <w:r>
        <w:rPr>
          <w:rFonts w:ascii="Calibri" w:hAnsi="Calibri"/>
          <w:color w:val="1F2937"/>
          <w:sz w:val="22"/>
        </w:rPr>
        <w:t>Compatibility, performance, and security certification</w:t>
      </w:r>
    </w:p>
    <w:p>
      <w:r>
        <w:rPr>
          <w:rFonts w:ascii="Calibri" w:hAnsi="Calibri"/>
          <w:color w:val="1F2937"/>
          <w:sz w:val="22"/>
        </w:rPr>
        <w:t>Align product messaging with pack maturity. The repository currently labels all packs preview while describing several product surfaces as Stable/RC.</w:t>
      </w:r>
    </w:p>
    <w:p>
      <w:pPr>
        <w:pStyle w:val="Heading1"/>
      </w:pPr>
      <w:r>
        <w:t>10. Easy distribution to every team</w:t>
      </w:r>
    </w:p>
    <w:p>
      <w:pPr>
        <w:numPr>
          <w:ilvl w:val="0"/>
          <w:numId w:val="100"/>
        </w:numPr>
      </w:pPr>
      <w:r>
        <w:rPr>
          <w:rFonts w:ascii="Calibri" w:hAnsi="Calibri"/>
          <w:color w:val="1F2937"/>
          <w:sz w:val="22"/>
        </w:rPr>
        <w:t>Signed multi-architecture container images with immutable digest examples</w:t>
      </w:r>
    </w:p>
    <w:p>
      <w:pPr>
        <w:numPr>
          <w:ilvl w:val="0"/>
          <w:numId w:val="100"/>
        </w:numPr>
      </w:pPr>
      <w:r>
        <w:rPr>
          <w:rFonts w:ascii="Calibri" w:hAnsi="Calibri"/>
          <w:color w:val="1F2937"/>
          <w:sz w:val="22"/>
        </w:rPr>
        <w:t>Reusable GitHub Actions workflow and pull-request summary</w:t>
      </w:r>
    </w:p>
    <w:p>
      <w:pPr>
        <w:numPr>
          <w:ilvl w:val="0"/>
          <w:numId w:val="100"/>
        </w:numPr>
      </w:pPr>
      <w:r>
        <w:rPr>
          <w:rFonts w:ascii="Calibri" w:hAnsi="Calibri"/>
          <w:color w:val="1F2937"/>
          <w:sz w:val="22"/>
        </w:rPr>
        <w:t>GitLab CI component and Jenkins shared library</w:t>
      </w:r>
    </w:p>
    <w:p>
      <w:pPr>
        <w:numPr>
          <w:ilvl w:val="0"/>
          <w:numId w:val="100"/>
        </w:numPr>
      </w:pPr>
      <w:r>
        <w:rPr>
          <w:rFonts w:ascii="Calibri" w:hAnsi="Calibri"/>
          <w:color w:val="1F2937"/>
          <w:sz w:val="22"/>
        </w:rPr>
        <w:t>SARIF output for code-scanning annotations</w:t>
      </w:r>
    </w:p>
    <w:p>
      <w:pPr>
        <w:numPr>
          <w:ilvl w:val="0"/>
          <w:numId w:val="100"/>
        </w:numPr>
      </w:pPr>
      <w:r>
        <w:rPr>
          <w:rFonts w:ascii="Calibri" w:hAnsi="Calibri"/>
          <w:color w:val="1F2937"/>
          <w:sz w:val="22"/>
        </w:rPr>
        <w:t>JUnit output for build systems</w:t>
      </w:r>
    </w:p>
    <w:p>
      <w:pPr>
        <w:numPr>
          <w:ilvl w:val="0"/>
          <w:numId w:val="100"/>
        </w:numPr>
      </w:pPr>
      <w:r>
        <w:rPr>
          <w:rFonts w:ascii="Calibri" w:hAnsi="Calibri"/>
          <w:color w:val="1F2937"/>
          <w:sz w:val="22"/>
        </w:rPr>
        <w:t>Changed-risk comparison against the baseline branch</w:t>
      </w:r>
    </w:p>
    <w:p>
      <w:pPr>
        <w:numPr>
          <w:ilvl w:val="0"/>
          <w:numId w:val="100"/>
        </w:numPr>
      </w:pPr>
      <w:r>
        <w:rPr>
          <w:rFonts w:ascii="Calibri" w:hAnsi="Calibri"/>
          <w:color w:val="1F2937"/>
          <w:sz w:val="22"/>
        </w:rPr>
        <w:t>Backstage or equivalent service-catalog scorecard integration</w:t>
      </w:r>
    </w:p>
    <w:p>
      <w:pPr>
        <w:numPr>
          <w:ilvl w:val="0"/>
          <w:numId w:val="100"/>
        </w:numPr>
      </w:pPr>
      <w:r>
        <w:rPr>
          <w:rFonts w:ascii="Calibri" w:hAnsi="Calibri"/>
          <w:color w:val="1F2937"/>
          <w:sz w:val="22"/>
        </w:rPr>
        <w:t>Clear upgrade, compatibility, support, and deprecation policies</w:t>
      </w:r>
    </w:p>
    <w:p>
      <w:pPr>
        <w:pStyle w:val="Heading1"/>
      </w:pPr>
      <w:r>
        <w:t>11. Phased implementation roadmap</w:t>
      </w:r>
    </w:p>
    <w:tbl>
      <w:tblPr>
        <w:tblStyle w:val="TableGrid"/>
        <w:tblW w:type="dxa" w:w="9360"/>
        <w:tblLayout w:type="fixed"/>
        <w:tblLook w:firstColumn="1" w:firstRow="1" w:lastColumn="0" w:lastRow="0" w:noHBand="0" w:noVBand="1" w:val="04A0"/>
        <w:tblInd w:w="120" w:type="dxa"/>
      </w:tblPr>
      <w:tblGrid>
        <w:gridCol w:w="700"/>
        <w:gridCol w:w="1800"/>
        <w:gridCol w:w="4360"/>
        <w:gridCol w:w="2500"/>
      </w:tblGrid>
      <w:tr>
        <w:trPr>
          <w:cantSplit/>
          <w:tblHeader w:val="true"/>
        </w:trPr>
        <w:tc>
          <w:tcPr>
            <w:tcW w:type="dxa" w:w="700"/>
            <w:tcMar>
              <w:top w:w="80" w:type="dxa"/>
              <w:bottom w:w="80" w:type="dxa"/>
              <w:start w:w="120" w:type="dxa"/>
              <w:end w:w="120" w:type="dxa"/>
            </w:tcMar>
            <w:vAlign w:val="center"/>
            <w:shd w:fill="F2F4F7"/>
          </w:tcPr>
          <w:p>
            <w:pPr>
              <w:spacing w:before="0" w:after="40" w:line="252" w:lineRule="auto"/>
            </w:pPr>
            <w:r>
              <w:rPr>
                <w:rFonts w:ascii="Calibri" w:hAnsi="Calibri"/>
                <w:b/>
                <w:color w:val="1F2937"/>
                <w:sz w:val="17"/>
              </w:rPr>
              <w:t>Phase</w:t>
            </w:r>
          </w:p>
        </w:tc>
        <w:tc>
          <w:tcPr>
            <w:tcW w:type="dxa" w:w="1800"/>
            <w:tcMar>
              <w:top w:w="80" w:type="dxa"/>
              <w:bottom w:w="80" w:type="dxa"/>
              <w:start w:w="120" w:type="dxa"/>
              <w:end w:w="120" w:type="dxa"/>
            </w:tcMar>
            <w:vAlign w:val="center"/>
            <w:shd w:fill="F2F4F7"/>
          </w:tcPr>
          <w:p>
            <w:pPr>
              <w:spacing w:before="0" w:after="40" w:line="252" w:lineRule="auto"/>
            </w:pPr>
            <w:r>
              <w:rPr>
                <w:rFonts w:ascii="Calibri" w:hAnsi="Calibri"/>
                <w:b/>
                <w:color w:val="1F2937"/>
                <w:sz w:val="17"/>
              </w:rPr>
              <w:t>Objective</w:t>
            </w:r>
          </w:p>
        </w:tc>
        <w:tc>
          <w:tcPr>
            <w:tcW w:type="dxa" w:w="4360"/>
            <w:tcMar>
              <w:top w:w="80" w:type="dxa"/>
              <w:bottom w:w="80" w:type="dxa"/>
              <w:start w:w="120" w:type="dxa"/>
              <w:end w:w="120" w:type="dxa"/>
            </w:tcMar>
            <w:vAlign w:val="center"/>
            <w:shd w:fill="F2F4F7"/>
          </w:tcPr>
          <w:p>
            <w:pPr>
              <w:spacing w:before="0" w:after="40" w:line="252" w:lineRule="auto"/>
            </w:pPr>
            <w:r>
              <w:rPr>
                <w:rFonts w:ascii="Calibri" w:hAnsi="Calibri"/>
                <w:b/>
                <w:color w:val="1F2937"/>
                <w:sz w:val="17"/>
              </w:rPr>
              <w:t>Primary deliverables</w:t>
            </w:r>
          </w:p>
        </w:tc>
        <w:tc>
          <w:tcPr>
            <w:tcW w:type="dxa" w:w="2500"/>
            <w:tcMar>
              <w:top w:w="80" w:type="dxa"/>
              <w:bottom w:w="80" w:type="dxa"/>
              <w:start w:w="120" w:type="dxa"/>
              <w:end w:w="120" w:type="dxa"/>
            </w:tcMar>
            <w:vAlign w:val="center"/>
            <w:shd w:fill="F2F4F7"/>
          </w:tcPr>
          <w:p>
            <w:pPr>
              <w:spacing w:before="0" w:after="40" w:line="252" w:lineRule="auto"/>
            </w:pPr>
            <w:r>
              <w:rPr>
                <w:rFonts w:ascii="Calibri" w:hAnsi="Calibri"/>
                <w:b/>
                <w:color w:val="1F2937"/>
                <w:sz w:val="17"/>
              </w:rPr>
              <w:t>Exit signal</w:t>
            </w:r>
          </w:p>
        </w:tc>
      </w:tr>
      <w:tr>
        <w:trPr>
          <w:cantSplit/>
        </w:trPr>
        <w:tc>
          <w:tcPr>
            <w:tcW w:type="dxa" w:w="700"/>
            <w:tcMar>
              <w:top w:w="80" w:type="dxa"/>
              <w:bottom w:w="80" w:type="dxa"/>
              <w:start w:w="120" w:type="dxa"/>
              <w:end w:w="120" w:type="dxa"/>
            </w:tcMar>
            <w:vAlign w:val="center"/>
          </w:tcPr>
          <w:p>
            <w:pPr>
              <w:spacing w:before="0" w:after="40" w:line="252" w:lineRule="auto"/>
            </w:pPr>
            <w:r>
              <w:rPr>
                <w:rFonts w:ascii="Calibri" w:hAnsi="Calibri"/>
                <w:b w:val="0"/>
                <w:color w:val="1F2937"/>
                <w:sz w:val="17"/>
              </w:rPr>
              <w:t>1</w:t>
            </w:r>
          </w:p>
        </w:tc>
        <w:tc>
          <w:tcPr>
            <w:tcW w:type="dxa" w:w="1800"/>
            <w:tcMar>
              <w:top w:w="80" w:type="dxa"/>
              <w:bottom w:w="80" w:type="dxa"/>
              <w:start w:w="120" w:type="dxa"/>
              <w:end w:w="120" w:type="dxa"/>
            </w:tcMar>
            <w:vAlign w:val="center"/>
          </w:tcPr>
          <w:p>
            <w:pPr>
              <w:spacing w:before="0" w:after="40" w:line="252" w:lineRule="auto"/>
            </w:pPr>
            <w:r>
              <w:rPr>
                <w:rFonts w:ascii="Calibri" w:hAnsi="Calibri"/>
                <w:b w:val="0"/>
                <w:color w:val="1F2937"/>
                <w:sz w:val="17"/>
              </w:rPr>
              <w:t>Trustworthy CLI release</w:t>
            </w:r>
          </w:p>
        </w:tc>
        <w:tc>
          <w:tcPr>
            <w:tcW w:type="dxa" w:w="4360"/>
            <w:tcMar>
              <w:top w:w="80" w:type="dxa"/>
              <w:bottom w:w="80" w:type="dxa"/>
              <w:start w:w="120" w:type="dxa"/>
              <w:end w:w="120" w:type="dxa"/>
            </w:tcMar>
            <w:vAlign w:val="center"/>
          </w:tcPr>
          <w:p>
            <w:pPr>
              <w:spacing w:before="0" w:after="40" w:line="252" w:lineRule="auto"/>
            </w:pPr>
            <w:r>
              <w:rPr>
                <w:rFonts w:ascii="Calibri" w:hAnsi="Calibri"/>
                <w:b w:val="0"/>
                <w:color w:val="1F2937"/>
                <w:sz w:val="17"/>
              </w:rPr>
              <w:t>Fix gates; version schemas; secure reports and uploads; lock dependencies; add SBOM, signing, scans, and non-root image</w:t>
            </w:r>
          </w:p>
        </w:tc>
        <w:tc>
          <w:tcPr>
            <w:tcW w:type="dxa" w:w="2500"/>
            <w:tcMar>
              <w:top w:w="80" w:type="dxa"/>
              <w:bottom w:w="80" w:type="dxa"/>
              <w:start w:w="120" w:type="dxa"/>
              <w:end w:w="120" w:type="dxa"/>
            </w:tcMar>
            <w:vAlign w:val="center"/>
          </w:tcPr>
          <w:p>
            <w:pPr>
              <w:spacing w:before="0" w:after="40" w:line="252" w:lineRule="auto"/>
            </w:pPr>
            <w:r>
              <w:rPr>
                <w:rFonts w:ascii="Calibri" w:hAnsi="Calibri"/>
                <w:b w:val="0"/>
                <w:color w:val="1F2937"/>
                <w:sz w:val="17"/>
              </w:rPr>
              <w:t>Repeatable signed release with all quality gates green</w:t>
            </w:r>
          </w:p>
        </w:tc>
      </w:tr>
      <w:tr>
        <w:trPr>
          <w:cantSplit/>
        </w:trPr>
        <w:tc>
          <w:tcPr>
            <w:tcW w:type="dxa" w:w="700"/>
            <w:tcMar>
              <w:top w:w="80" w:type="dxa"/>
              <w:bottom w:w="80" w:type="dxa"/>
              <w:start w:w="120" w:type="dxa"/>
              <w:end w:w="120" w:type="dxa"/>
            </w:tcMar>
            <w:vAlign w:val="center"/>
          </w:tcPr>
          <w:p>
            <w:pPr>
              <w:spacing w:before="0" w:after="40" w:line="252" w:lineRule="auto"/>
            </w:pPr>
            <w:r>
              <w:rPr>
                <w:rFonts w:ascii="Calibri" w:hAnsi="Calibri"/>
                <w:b w:val="0"/>
                <w:color w:val="1F2937"/>
                <w:sz w:val="17"/>
              </w:rPr>
              <w:t>2</w:t>
            </w:r>
          </w:p>
        </w:tc>
        <w:tc>
          <w:tcPr>
            <w:tcW w:type="dxa" w:w="1800"/>
            <w:tcMar>
              <w:top w:w="80" w:type="dxa"/>
              <w:bottom w:w="80" w:type="dxa"/>
              <w:start w:w="120" w:type="dxa"/>
              <w:end w:w="120" w:type="dxa"/>
            </w:tcMar>
            <w:vAlign w:val="center"/>
          </w:tcPr>
          <w:p>
            <w:pPr>
              <w:spacing w:before="0" w:after="40" w:line="252" w:lineRule="auto"/>
            </w:pPr>
            <w:r>
              <w:rPr>
                <w:rFonts w:ascii="Calibri" w:hAnsi="Calibri"/>
                <w:b w:val="0"/>
                <w:color w:val="1F2937"/>
                <w:sz w:val="17"/>
              </w:rPr>
              <w:t>Easy team adoption</w:t>
            </w:r>
          </w:p>
        </w:tc>
        <w:tc>
          <w:tcPr>
            <w:tcW w:type="dxa" w:w="4360"/>
            <w:tcMar>
              <w:top w:w="80" w:type="dxa"/>
              <w:bottom w:w="80" w:type="dxa"/>
              <w:start w:w="120" w:type="dxa"/>
              <w:end w:w="120" w:type="dxa"/>
            </w:tcMar>
            <w:vAlign w:val="center"/>
          </w:tcPr>
          <w:p>
            <w:pPr>
              <w:spacing w:before="0" w:after="40" w:line="252" w:lineRule="auto"/>
            </w:pPr>
            <w:r>
              <w:rPr>
                <w:rFonts w:ascii="Calibri" w:hAnsi="Calibri"/>
                <w:b w:val="0"/>
                <w:color w:val="1F2937"/>
                <w:sz w:val="17"/>
              </w:rPr>
              <w:t>Reusable CI components; SARIF/JUnit; tier profiles; observability pack; connector SDK; central policy bundles</w:t>
            </w:r>
          </w:p>
        </w:tc>
        <w:tc>
          <w:tcPr>
            <w:tcW w:type="dxa" w:w="2500"/>
            <w:tcMar>
              <w:top w:w="80" w:type="dxa"/>
              <w:bottom w:w="80" w:type="dxa"/>
              <w:start w:w="120" w:type="dxa"/>
              <w:end w:w="120" w:type="dxa"/>
            </w:tcMar>
            <w:vAlign w:val="center"/>
          </w:tcPr>
          <w:p>
            <w:pPr>
              <w:spacing w:before="0" w:after="40" w:line="252" w:lineRule="auto"/>
            </w:pPr>
            <w:r>
              <w:rPr>
                <w:rFonts w:ascii="Calibri" w:hAnsi="Calibri"/>
                <w:b w:val="0"/>
                <w:color w:val="1F2937"/>
                <w:sz w:val="17"/>
              </w:rPr>
              <w:t>Several teams run Beacon in CI without repository-specific setup</w:t>
            </w:r>
          </w:p>
        </w:tc>
      </w:tr>
      <w:tr>
        <w:trPr>
          <w:cantSplit/>
        </w:trPr>
        <w:tc>
          <w:tcPr>
            <w:tcW w:type="dxa" w:w="700"/>
            <w:tcMar>
              <w:top w:w="80" w:type="dxa"/>
              <w:bottom w:w="80" w:type="dxa"/>
              <w:start w:w="120" w:type="dxa"/>
              <w:end w:w="120" w:type="dxa"/>
            </w:tcMar>
            <w:vAlign w:val="center"/>
          </w:tcPr>
          <w:p>
            <w:pPr>
              <w:spacing w:before="0" w:after="40" w:line="252" w:lineRule="auto"/>
            </w:pPr>
            <w:r>
              <w:rPr>
                <w:rFonts w:ascii="Calibri" w:hAnsi="Calibri"/>
                <w:b w:val="0"/>
                <w:color w:val="1F2937"/>
                <w:sz w:val="17"/>
              </w:rPr>
              <w:t>3</w:t>
            </w:r>
          </w:p>
        </w:tc>
        <w:tc>
          <w:tcPr>
            <w:tcW w:type="dxa" w:w="1800"/>
            <w:tcMar>
              <w:top w:w="80" w:type="dxa"/>
              <w:bottom w:w="80" w:type="dxa"/>
              <w:start w:w="120" w:type="dxa"/>
              <w:end w:w="120" w:type="dxa"/>
            </w:tcMar>
            <w:vAlign w:val="center"/>
          </w:tcPr>
          <w:p>
            <w:pPr>
              <w:spacing w:before="0" w:after="40" w:line="252" w:lineRule="auto"/>
            </w:pPr>
            <w:r>
              <w:rPr>
                <w:rFonts w:ascii="Calibri" w:hAnsi="Calibri"/>
                <w:b w:val="0"/>
                <w:color w:val="1F2937"/>
                <w:sz w:val="17"/>
              </w:rPr>
              <w:t>Shared enterprise platform</w:t>
            </w:r>
          </w:p>
        </w:tc>
        <w:tc>
          <w:tcPr>
            <w:tcW w:type="dxa" w:w="4360"/>
            <w:tcMar>
              <w:top w:w="80" w:type="dxa"/>
              <w:bottom w:w="80" w:type="dxa"/>
              <w:start w:w="120" w:type="dxa"/>
              <w:end w:w="120" w:type="dxa"/>
            </w:tcMar>
            <w:vAlign w:val="center"/>
          </w:tcPr>
          <w:p>
            <w:pPr>
              <w:spacing w:before="0" w:after="40" w:line="252" w:lineRule="auto"/>
            </w:pPr>
            <w:r>
              <w:rPr>
                <w:rFonts w:ascii="Calibri" w:hAnsi="Calibri"/>
                <w:b w:val="0"/>
                <w:color w:val="1F2937"/>
                <w:sz w:val="17"/>
              </w:rPr>
              <w:t>API/UI; SSO/RBAC; persistence; audit; queues; private runners; scheduling; fleet dashboards; waiver approvals</w:t>
            </w:r>
          </w:p>
        </w:tc>
        <w:tc>
          <w:tcPr>
            <w:tcW w:type="dxa" w:w="2500"/>
            <w:tcMar>
              <w:top w:w="80" w:type="dxa"/>
              <w:bottom w:w="80" w:type="dxa"/>
              <w:start w:w="120" w:type="dxa"/>
              <w:end w:w="120" w:type="dxa"/>
            </w:tcMar>
            <w:vAlign w:val="center"/>
          </w:tcPr>
          <w:p>
            <w:pPr>
              <w:spacing w:before="0" w:after="40" w:line="252" w:lineRule="auto"/>
            </w:pPr>
            <w:r>
              <w:rPr>
                <w:rFonts w:ascii="Calibri" w:hAnsi="Calibri"/>
                <w:b w:val="0"/>
                <w:color w:val="1F2937"/>
                <w:sz w:val="17"/>
              </w:rPr>
              <w:t>Governed organization-wide service inventory and assessment history</w:t>
            </w:r>
          </w:p>
        </w:tc>
      </w:tr>
      <w:tr>
        <w:trPr>
          <w:cantSplit/>
        </w:trPr>
        <w:tc>
          <w:tcPr>
            <w:tcW w:type="dxa" w:w="700"/>
            <w:tcMar>
              <w:top w:w="80" w:type="dxa"/>
              <w:bottom w:w="80" w:type="dxa"/>
              <w:start w:w="120" w:type="dxa"/>
              <w:end w:w="120" w:type="dxa"/>
            </w:tcMar>
            <w:vAlign w:val="center"/>
          </w:tcPr>
          <w:p>
            <w:pPr>
              <w:spacing w:before="0" w:after="40" w:line="252" w:lineRule="auto"/>
            </w:pPr>
            <w:r>
              <w:rPr>
                <w:rFonts w:ascii="Calibri" w:hAnsi="Calibri"/>
                <w:b w:val="0"/>
                <w:color w:val="1F2937"/>
                <w:sz w:val="17"/>
              </w:rPr>
              <w:t>4</w:t>
            </w:r>
          </w:p>
        </w:tc>
        <w:tc>
          <w:tcPr>
            <w:tcW w:type="dxa" w:w="1800"/>
            <w:tcMar>
              <w:top w:w="80" w:type="dxa"/>
              <w:bottom w:w="80" w:type="dxa"/>
              <w:start w:w="120" w:type="dxa"/>
              <w:end w:w="120" w:type="dxa"/>
            </w:tcMar>
            <w:vAlign w:val="center"/>
          </w:tcPr>
          <w:p>
            <w:pPr>
              <w:spacing w:before="0" w:after="40" w:line="252" w:lineRule="auto"/>
            </w:pPr>
            <w:r>
              <w:rPr>
                <w:rFonts w:ascii="Calibri" w:hAnsi="Calibri"/>
                <w:b w:val="0"/>
                <w:color w:val="1F2937"/>
                <w:sz w:val="17"/>
              </w:rPr>
              <w:t>Deeper operational intelligence</w:t>
            </w:r>
          </w:p>
        </w:tc>
        <w:tc>
          <w:tcPr>
            <w:tcW w:type="dxa" w:w="4360"/>
            <w:tcMar>
              <w:top w:w="80" w:type="dxa"/>
              <w:bottom w:w="80" w:type="dxa"/>
              <w:start w:w="120" w:type="dxa"/>
              <w:end w:w="120" w:type="dxa"/>
            </w:tcMar>
            <w:vAlign w:val="center"/>
          </w:tcPr>
          <w:p>
            <w:pPr>
              <w:spacing w:before="0" w:after="40" w:line="252" w:lineRule="auto"/>
            </w:pPr>
            <w:r>
              <w:rPr>
                <w:rFonts w:ascii="Calibri" w:hAnsi="Calibri"/>
                <w:b w:val="0"/>
                <w:color w:val="1F2937"/>
                <w:sz w:val="17"/>
              </w:rPr>
              <w:t>Range queries; dependency graph; incident timelines; SLO burn-rate reasoning; remediation outcome tracking</w:t>
            </w:r>
          </w:p>
        </w:tc>
        <w:tc>
          <w:tcPr>
            <w:tcW w:type="dxa" w:w="2500"/>
            <w:tcMar>
              <w:top w:w="80" w:type="dxa"/>
              <w:bottom w:w="80" w:type="dxa"/>
              <w:start w:w="120" w:type="dxa"/>
              <w:end w:w="120" w:type="dxa"/>
            </w:tcMar>
            <w:vAlign w:val="center"/>
          </w:tcPr>
          <w:p>
            <w:pPr>
              <w:spacing w:before="0" w:after="40" w:line="252" w:lineRule="auto"/>
            </w:pPr>
            <w:r>
              <w:rPr>
                <w:rFonts w:ascii="Calibri" w:hAnsi="Calibri"/>
                <w:b w:val="0"/>
                <w:color w:val="1F2937"/>
                <w:sz w:val="17"/>
              </w:rPr>
              <w:t>Beacon improves both release decisions and incident investigation</w:t>
            </w:r>
          </w:p>
        </w:tc>
      </w:tr>
    </w:tbl>
    <w:p>
      <w:pPr>
        <w:pStyle w:val="Heading1"/>
      </w:pPr>
      <w:r>
        <w:t>12. Phase 1 implementation order</w:t>
      </w:r>
    </w:p>
    <w:p>
      <w:pPr>
        <w:numPr>
          <w:ilvl w:val="0"/>
          <w:numId w:val="102"/>
        </w:numPr>
      </w:pPr>
      <w:r>
        <w:rPr>
          <w:rFonts w:ascii="Calibri" w:hAnsi="Calibri"/>
          <w:color w:val="1F2937"/>
          <w:sz w:val="22"/>
        </w:rPr>
        <w:t>Complete the release-review checklist implementation and restore a green test suite.</w:t>
      </w:r>
    </w:p>
    <w:p>
      <w:pPr>
        <w:numPr>
          <w:ilvl w:val="0"/>
          <w:numId w:val="102"/>
        </w:numPr>
      </w:pPr>
      <w:r>
        <w:rPr>
          <w:rFonts w:ascii="Calibri" w:hAnsi="Calibri"/>
          <w:color w:val="1F2937"/>
          <w:sz w:val="22"/>
        </w:rPr>
        <w:t>Introduce versioned findings, summaries, policies, packs, and evidence schemas.</w:t>
      </w:r>
    </w:p>
    <w:p>
      <w:pPr>
        <w:numPr>
          <w:ilvl w:val="0"/>
          <w:numId w:val="102"/>
        </w:numPr>
      </w:pPr>
      <w:r>
        <w:rPr>
          <w:rFonts w:ascii="Calibri" w:hAnsi="Calibri"/>
          <w:color w:val="1F2937"/>
          <w:sz w:val="22"/>
        </w:rPr>
        <w:t>Enable Jinja autoescaping, link sanitization, redaction, CSP, upload limits, and temporary-file cleanup.</w:t>
      </w:r>
    </w:p>
    <w:p>
      <w:pPr>
        <w:numPr>
          <w:ilvl w:val="0"/>
          <w:numId w:val="102"/>
        </w:numPr>
      </w:pPr>
      <w:r>
        <w:rPr>
          <w:rFonts w:ascii="Calibri" w:hAnsi="Calibri"/>
          <w:color w:val="1F2937"/>
          <w:sz w:val="22"/>
        </w:rPr>
        <w:t>Separate runtime and development dependencies; add reproducible dependency locks.</w:t>
      </w:r>
    </w:p>
    <w:p>
      <w:pPr>
        <w:numPr>
          <w:ilvl w:val="0"/>
          <w:numId w:val="102"/>
        </w:numPr>
      </w:pPr>
      <w:r>
        <w:rPr>
          <w:rFonts w:ascii="Calibri" w:hAnsi="Calibri"/>
          <w:color w:val="1F2937"/>
          <w:sz w:val="22"/>
        </w:rPr>
        <w:t>Enforce tests, Ruff, mypy, coverage, package builds, and supported Python versions in CI.</w:t>
      </w:r>
    </w:p>
    <w:p>
      <w:pPr>
        <w:numPr>
          <w:ilvl w:val="0"/>
          <w:numId w:val="102"/>
        </w:numPr>
      </w:pPr>
      <w:r>
        <w:rPr>
          <w:rFonts w:ascii="Calibri" w:hAnsi="Calibri"/>
          <w:color w:val="1F2937"/>
          <w:sz w:val="22"/>
        </w:rPr>
        <w:t>Add LICENSE, SECURITY.md, CONTRIBUTING.md, CODEOWNERS, support policy, and vulnerability disclosure guidance.</w:t>
      </w:r>
    </w:p>
    <w:p>
      <w:pPr>
        <w:numPr>
          <w:ilvl w:val="0"/>
          <w:numId w:val="102"/>
        </w:numPr>
      </w:pPr>
      <w:r>
        <w:rPr>
          <w:rFonts w:ascii="Calibri" w:hAnsi="Calibri"/>
          <w:color w:val="1F2937"/>
          <w:sz w:val="22"/>
        </w:rPr>
        <w:t>Add secret scanning, SAST, dependency audit, container scan, SBOM, signing, and provenance.</w:t>
      </w:r>
    </w:p>
    <w:p>
      <w:pPr>
        <w:numPr>
          <w:ilvl w:val="0"/>
          <w:numId w:val="102"/>
        </w:numPr>
      </w:pPr>
      <w:r>
        <w:rPr>
          <w:rFonts w:ascii="Calibri" w:hAnsi="Calibri"/>
          <w:color w:val="1F2937"/>
          <w:sz w:val="22"/>
        </w:rPr>
        <w:t>Run containers as a non-root user and pin base images and CI actions.</w:t>
      </w:r>
    </w:p>
    <w:p>
      <w:pPr>
        <w:numPr>
          <w:ilvl w:val="0"/>
          <w:numId w:val="102"/>
        </w:numPr>
      </w:pPr>
      <w:r>
        <w:rPr>
          <w:rFonts w:ascii="Calibri" w:hAnsi="Calibri"/>
          <w:color w:val="1F2937"/>
          <w:sz w:val="22"/>
        </w:rPr>
        <w:t>Align README claims, pack maturity, changelog, versions, and release notes.</w:t>
      </w:r>
    </w:p>
    <w:p>
      <w:pPr>
        <w:numPr>
          <w:ilvl w:val="0"/>
          <w:numId w:val="102"/>
        </w:numPr>
      </w:pPr>
      <w:r>
        <w:rPr>
          <w:rFonts w:ascii="Calibri" w:hAnsi="Calibri"/>
          <w:color w:val="1F2937"/>
          <w:sz w:val="22"/>
        </w:rPr>
        <w:t>Publish reusable CI examples and a stable machine-readable report contract.</w:t>
      </w:r>
    </w:p>
    <w:p>
      <w:pPr>
        <w:pStyle w:val="Heading1"/>
      </w:pPr>
      <w:r>
        <w:t>13. General-availability definition</w:t>
      </w:r>
    </w:p>
    <w:p>
      <w:pPr>
        <w:numPr>
          <w:ilvl w:val="0"/>
          <w:numId w:val="100"/>
        </w:numPr>
      </w:pPr>
      <w:r>
        <w:rPr>
          <w:rFonts w:ascii="Calibri" w:hAnsi="Calibri"/>
          <w:color w:val="1F2937"/>
          <w:sz w:val="22"/>
        </w:rPr>
        <w:t>All tests, lint, typing, packaging, and security checks pass.</w:t>
      </w:r>
    </w:p>
    <w:p>
      <w:pPr>
        <w:numPr>
          <w:ilvl w:val="0"/>
          <w:numId w:val="100"/>
        </w:numPr>
      </w:pPr>
      <w:r>
        <w:rPr>
          <w:rFonts w:ascii="Calibri" w:hAnsi="Calibri"/>
          <w:color w:val="1F2937"/>
          <w:sz w:val="22"/>
        </w:rPr>
        <w:t>Public schemas are versioned and protected by compatibility tests.</w:t>
      </w:r>
    </w:p>
    <w:p>
      <w:pPr>
        <w:numPr>
          <w:ilvl w:val="0"/>
          <w:numId w:val="100"/>
        </w:numPr>
      </w:pPr>
      <w:r>
        <w:rPr>
          <w:rFonts w:ascii="Calibri" w:hAnsi="Calibri"/>
          <w:color w:val="1F2937"/>
          <w:sz w:val="22"/>
        </w:rPr>
        <w:t>No known critical or high release vulnerabilities remain unreviewed.</w:t>
      </w:r>
    </w:p>
    <w:p>
      <w:pPr>
        <w:numPr>
          <w:ilvl w:val="0"/>
          <w:numId w:val="100"/>
        </w:numPr>
      </w:pPr>
      <w:r>
        <w:rPr>
          <w:rFonts w:ascii="Calibri" w:hAnsi="Calibri"/>
          <w:color w:val="1F2937"/>
          <w:sz w:val="22"/>
        </w:rPr>
        <w:t>Binaries and containers are signed and include SBOMs and provenance.</w:t>
      </w:r>
    </w:p>
    <w:p>
      <w:pPr>
        <w:numPr>
          <w:ilvl w:val="0"/>
          <w:numId w:val="100"/>
        </w:numPr>
      </w:pPr>
      <w:r>
        <w:rPr>
          <w:rFonts w:ascii="Calibri" w:hAnsi="Calibri"/>
          <w:color w:val="1F2937"/>
          <w:sz w:val="22"/>
        </w:rPr>
        <w:t>The local UI is explicitly local-only or replaced by an authenticated production service.</w:t>
      </w:r>
    </w:p>
    <w:p>
      <w:pPr>
        <w:numPr>
          <w:ilvl w:val="0"/>
          <w:numId w:val="100"/>
        </w:numPr>
      </w:pPr>
      <w:r>
        <w:rPr>
          <w:rFonts w:ascii="Calibri" w:hAnsi="Calibri"/>
          <w:color w:val="1F2937"/>
          <w:sz w:val="22"/>
        </w:rPr>
        <w:t>At least one stable pack exists for each claimed generally available domain.</w:t>
      </w:r>
    </w:p>
    <w:p>
      <w:pPr>
        <w:numPr>
          <w:ilvl w:val="0"/>
          <w:numId w:val="100"/>
        </w:numPr>
      </w:pPr>
      <w:r>
        <w:rPr>
          <w:rFonts w:ascii="Calibri" w:hAnsi="Calibri"/>
          <w:color w:val="1F2937"/>
          <w:sz w:val="22"/>
        </w:rPr>
        <w:t>Upgrade, downgrade, rollback, support, and deprecation paths are documented and tested.</w:t>
      </w:r>
    </w:p>
    <w:p>
      <w:pPr>
        <w:numPr>
          <w:ilvl w:val="0"/>
          <w:numId w:val="100"/>
        </w:numPr>
      </w:pPr>
      <w:r>
        <w:rPr>
          <w:rFonts w:ascii="Calibri" w:hAnsi="Calibri"/>
          <w:color w:val="1F2937"/>
          <w:sz w:val="22"/>
        </w:rPr>
        <w:t>Performance and scale benchmarks exist for representative repositories and fleets.</w:t>
      </w:r>
    </w:p>
    <w:p>
      <w:pPr>
        <w:numPr>
          <w:ilvl w:val="0"/>
          <w:numId w:val="100"/>
        </w:numPr>
      </w:pPr>
      <w:r>
        <w:rPr>
          <w:rFonts w:ascii="Calibri" w:hAnsi="Calibri"/>
          <w:color w:val="1F2937"/>
          <w:sz w:val="22"/>
        </w:rPr>
        <w:t>At least three real teams demonstrate repeatable release decisions and useful remediation outcomes.</w:t>
      </w:r>
    </w:p>
    <w:p>
      <w:pPr>
        <w:pStyle w:val="Heading1"/>
      </w:pPr>
      <w:r>
        <w:t>14. Validation observations from this review</w:t>
      </w:r>
    </w:p>
    <w:p>
      <w:pPr>
        <w:numPr>
          <w:ilvl w:val="0"/>
          <w:numId w:val="100"/>
        </w:numPr>
      </w:pPr>
      <w:r>
        <w:rPr>
          <w:rFonts w:ascii="Calibri" w:hAnsi="Calibri"/>
          <w:color w:val="1F2937"/>
          <w:sz w:val="22"/>
        </w:rPr>
        <w:t>A representative static scan of examples/bad-infra completed and returned NOT READY with 18 findings.</w:t>
      </w:r>
    </w:p>
    <w:p>
      <w:pPr>
        <w:numPr>
          <w:ilvl w:val="0"/>
          <w:numId w:val="100"/>
        </w:numPr>
      </w:pPr>
      <w:r>
        <w:rPr>
          <w:rFonts w:ascii="Calibri" w:hAnsi="Calibri"/>
          <w:color w:val="1F2937"/>
          <w:sz w:val="22"/>
        </w:rPr>
        <w:t>The emitted JSON report contains no schema_version field.</w:t>
      </w:r>
    </w:p>
    <w:p>
      <w:pPr>
        <w:numPr>
          <w:ilvl w:val="0"/>
          <w:numId w:val="100"/>
        </w:numPr>
      </w:pPr>
      <w:r>
        <w:rPr>
          <w:rFonts w:ascii="Calibri" w:hAnsi="Calibri"/>
          <w:color w:val="1F2937"/>
          <w:sz w:val="22"/>
        </w:rPr>
        <w:t>The test suite passed when the unfinished release-checklist test and environment-blocked HTTP smoke test were excluded; measured line coverage was approximately 83%.</w:t>
      </w:r>
    </w:p>
    <w:p>
      <w:pPr>
        <w:numPr>
          <w:ilvl w:val="0"/>
          <w:numId w:val="100"/>
        </w:numPr>
      </w:pPr>
      <w:r>
        <w:rPr>
          <w:rFonts w:ascii="Calibri" w:hAnsi="Calibri"/>
          <w:color w:val="1F2937"/>
          <w:sz w:val="22"/>
        </w:rPr>
        <w:t>The current worktree reported 719 Ruff findings and 41 mypy errors.</w:t>
      </w:r>
    </w:p>
    <w:p>
      <w:pPr>
        <w:numPr>
          <w:ilvl w:val="0"/>
          <w:numId w:val="100"/>
        </w:numPr>
      </w:pPr>
      <w:r>
        <w:rPr>
          <w:rFonts w:ascii="Calibri" w:hAnsi="Calibri"/>
          <w:color w:val="1F2937"/>
          <w:sz w:val="22"/>
        </w:rPr>
        <w:t>The declared py.typed package marker is absent.</w:t>
      </w:r>
    </w:p>
    <w:p>
      <w:pPr>
        <w:numPr>
          <w:ilvl w:val="0"/>
          <w:numId w:val="100"/>
        </w:numPr>
      </w:pPr>
      <w:r>
        <w:rPr>
          <w:rFonts w:ascii="Calibri" w:hAnsi="Calibri"/>
          <w:color w:val="1F2937"/>
          <w:sz w:val="22"/>
        </w:rPr>
        <w:t>The repository advertises Python 3.9 through 3.12 but CI currently validates only Python 3.11.</w:t>
      </w:r>
    </w:p>
    <w:p>
      <w:pPr>
        <w:pStyle w:val="Heading1"/>
      </w:pPr>
      <w:r>
        <w:t>15. Final recommendation</w:t>
      </w:r>
    </w:p>
    <w:p>
      <w:pPr>
        <w:spacing w:before="120" w:after="160" w:line="264" w:lineRule="auto"/>
        <w:ind w:left="115" w:right="115"/>
        <w:shd w:fill="EEF7F2"/>
        <w:pBdr>
          <w:left w:val="single" w:sz="18" w:space="8" w:color="1F6B45"/>
        </w:pBdr>
      </w:pPr>
      <w:r>
        <w:rPr>
          <w:rFonts w:ascii="Calibri" w:hAnsi="Calibri"/>
          <w:b/>
          <w:color w:val="1F6B45"/>
          <w:sz w:val="22"/>
        </w:rPr>
        <w:t xml:space="preserve">Recommended next move: </w:t>
      </w:r>
      <w:r>
        <w:rPr>
          <w:rFonts w:ascii="Calibri" w:hAnsi="Calibri"/>
          <w:color w:val="1F2937"/>
          <w:sz w:val="22"/>
        </w:rPr>
        <w:t>Treat the CLI engine as the product core. Finish contract and security hardening, distribute it through reusable CI workflows, prove value with several service teams, and only then build the centralized control plane. Keep AI optional and evidence-bound: it may explain or summarize, but it should never invent evidence or independently decide a release gate.</w:t>
      </w:r>
    </w:p>
    <w:p>
      <w:r>
        <w:rPr>
          <w:rFonts w:ascii="Calibri" w:hAnsi="Calibri"/>
          <w:color w:val="1F2937"/>
          <w:sz w:val="22"/>
        </w:rPr>
        <w:t>This sequence preserves Beacon's strongest qualities - deterministic reasoning, read-only access, inspectable rules, and lightweight execution - while adding the trust, governance, and usability required for broad organizational adoption.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Beacon Product Readiness Assessment  |  Page </w:t>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BEACON PRODUCT ASSESSMENT</w:t>
    </w:r>
    <w:r>
      <w:rPr>
        <w:rFonts w:ascii="Calibri" w:hAnsi="Calibri"/>
        <w:color w:val="5B6573"/>
        <w:sz w:val="17"/>
      </w:rPr>
      <w:t xml:space="preserve">  |  Internal working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0">
    <w:abstractNumId w:val="100"/>
  </w:num>
  <w:abstractNum w:abstractNumId="101">
    <w:multiLevelType w:val="singleLevel"/>
    <w:lvl w:ilvl="0">
      <w:start w:val="1"/>
      <w:numFmt w:val="decimal"/>
      <w:lvlText w:val="%1."/>
      <w:suff w:val="tab"/>
      <w:pPr>
        <w:tabs>
          <w:tab w:val="num" w:pos="720"/>
        </w:tabs>
        <w:ind w:left="720" w:hanging="360"/>
        <w:spacing w:after="160" w:line="280" w:lineRule="auto"/>
      </w:pPr>
    </w:lvl>
  </w:abstractNum>
  <w:num w:numId="101">
    <w:abstractNumId w:val="101"/>
  </w:num>
  <w:abstractNum w:abstractNumId="102">
    <w:multiLevelType w:val="singleLevel"/>
    <w:lvl w:ilvl="0">
      <w:start w:val="1"/>
      <w:numFmt w:val="decimal"/>
      <w:lvlText w:val="%1."/>
      <w:suff w:val="tab"/>
      <w:pPr>
        <w:tabs>
          <w:tab w:val="num" w:pos="720"/>
        </w:tabs>
        <w:ind w:left="720" w:hanging="360"/>
        <w:spacing w:after="160" w:line="280" w:lineRule="auto"/>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4" w:lineRule="auto"/>
    </w:pPr>
    <w:rPr>
      <w:rFonts w:ascii="Calibri" w:hAnsi="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Product Readiness and Observability Review Assessment</dc:title>
  <dc:subject>Repository-wide professional product assessment and roadmap</dc:subject>
  <dc:creator>Beacon Product Review</dc:creator>
  <cp:keywords>Beacon, product readiness, observability, SRE, platform engineering</cp:keywords>
  <dc:description>Internal working assessment generated from a repository review.</dc:description>
  <cp:lastModifiedBy/>
  <cp:revision>1</cp:revision>
  <dcterms:created xsi:type="dcterms:W3CDTF">2013-12-23T23:15:00Z</dcterms:created>
  <dcterms:modified xsi:type="dcterms:W3CDTF">2013-12-23T23:15:00Z</dcterms:modified>
  <cp:category/>
</cp:coreProperties>
</file>