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CaseOps rich DOCX acceptance</w:t>
      </w:r>
    </w:p>
    <w:p>
      <w:r>
        <w:t xml:space="preserve">Ordinary paragraph with </w:t>
      </w:r>
      <w:r>
        <w:rPr>
          <w:b/>
        </w:rPr>
        <w:t>bold evidence</w:t>
      </w:r>
      <w:r>
        <w:t xml:space="preserve">, </w:t>
      </w:r>
      <w:r>
        <w:rPr>
          <w:i/>
        </w:rPr>
        <w:t>italic analysis</w:t>
      </w:r>
      <w:r>
        <w:t xml:space="preserve">, and </w:t>
      </w:r>
      <w:r>
        <w:rPr>
          <w:u w:val="single"/>
        </w:rPr>
        <w:t>underlined citation</w:t>
      </w:r>
      <w:r>
        <w:t>.</w:t>
      </w:r>
    </w:p>
    <w:p>
      <w:pPr>
        <w:pStyle w:val="ListBullet"/>
      </w:pPr>
      <w:r>
        <w:t>First bullet item</w:t>
      </w:r>
    </w:p>
    <w:p>
      <w:pPr>
        <w:pStyle w:val="ListBullet"/>
      </w:pPr>
      <w:r>
        <w:t>Second bullet item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Evidence</w:t>
            </w:r>
          </w:p>
        </w:tc>
      </w:tr>
      <w:tr>
        <w:tc>
          <w:tcPr>
            <w:tcW w:type="dxa" w:w="4320"/>
          </w:tcPr>
          <w:p>
            <w:r>
              <w:t>DOCX</w:t>
            </w:r>
          </w:p>
        </w:tc>
        <w:tc>
          <w:tcPr>
            <w:tcW w:type="dxa" w:w="4320"/>
          </w:tcPr>
          <w:p>
            <w:r>
              <w:t>Preserved</w:t>
            </w:r>
          </w:p>
        </w:tc>
      </w:tr>
    </w:tbl>
    <w:p>
      <w:pPr>
        <w:spacing w:before="240"/>
        <w:jc w:val="right"/>
      </w:pPr>
      <w:r>
        <w:t>Right aligned conclusion</w:t>
      </w:r>
    </w:p>
    <w:p>
      <w:r>
        <w:br w:type="page"/>
      </w:r>
    </w:p>
    <w:p>
      <w:pPr>
        <w:pStyle w:val="Heading2"/>
      </w:pPr>
      <w:r>
        <w:t>Second page heading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