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03366"/>
          <w:sz w:val="34"/>
        </w:rPr>
        <w:t>WEEK 2 TECHNICAL REPORT: DATA EXPLORATION &amp; CLEANING STRATEGY</w:t>
      </w:r>
    </w:p>
    <w:p>
      <w:pPr>
        <w:spacing w:after="280"/>
      </w:pPr>
      <w:r>
        <w:rPr>
          <w:rFonts w:ascii="Calibri" w:hAnsi="Calibri"/>
          <w:i/>
          <w:color w:val="46505F"/>
          <w:sz w:val="23"/>
        </w:rPr>
        <w:t>Framework for Handling Noisy, Incomplete, and High-Variance Tabular Datasets in Python</w:t>
      </w:r>
    </w:p>
    <w:tbl>
      <w:tblPr>
        <w:tblW w:type="auto" w:w="0"/>
        <w:jc w:val="center"/>
        <w:tblLook w:firstColumn="1" w:firstRow="1" w:lastColumn="0" w:lastRow="0" w:noHBand="0" w:noVBand="1" w:val="04A0"/>
      </w:tblPr>
      <w:tblGrid>
        <w:gridCol w:w="4680"/>
        <w:gridCol w:w="4680"/>
      </w:tblGrid>
      <w:tr>
        <w:tc>
          <w:tcPr>
            <w:tcW w:type="dxa" w:w="4680"/>
            <w:shd w:val="clear" w:color="auto" w:fill="F7F9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b/>
                <w:color w:val="003366"/>
                <w:sz w:val="19"/>
              </w:rPr>
              <w:t>Candidate Name:</w:t>
            </w:r>
            <w:r>
              <w:rPr>
                <w:color w:val="282828"/>
                <w:sz w:val="19"/>
              </w:rPr>
              <w:t xml:space="preserve"> Unnati Mishra</w:t>
            </w:r>
          </w:p>
        </w:tc>
        <w:tc>
          <w:tcPr>
            <w:tcW w:type="dxa" w:w="4680"/>
            <w:shd w:val="clear" w:color="auto" w:fill="F7F9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b/>
                <w:color w:val="003366"/>
                <w:sz w:val="19"/>
              </w:rPr>
              <w:t>Track:</w:t>
            </w:r>
            <w:r>
              <w:rPr>
                <w:color w:val="282828"/>
                <w:sz w:val="19"/>
              </w:rPr>
              <w:t xml:space="preserve"> Virtual Data Analytics Intern</w:t>
            </w:r>
          </w:p>
        </w:tc>
      </w:tr>
      <w:tr>
        <w:tc>
          <w:tcPr>
            <w:tcW w:type="dxa" w:w="4680"/>
            <w:shd w:val="clear" w:color="auto" w:fill="F7F9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b/>
                <w:color w:val="003366"/>
                <w:sz w:val="19"/>
              </w:rPr>
              <w:t>Task / Module:</w:t>
            </w:r>
            <w:r>
              <w:rPr>
                <w:color w:val="282828"/>
                <w:sz w:val="19"/>
              </w:rPr>
              <w:t xml:space="preserve"> Week 2 - Cleaning Strategy</w:t>
            </w:r>
          </w:p>
        </w:tc>
        <w:tc>
          <w:tcPr>
            <w:tcW w:type="dxa" w:w="4680"/>
            <w:shd w:val="clear" w:color="auto" w:fill="F7F9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b/>
                <w:color w:val="003366"/>
                <w:sz w:val="19"/>
              </w:rPr>
              <w:t>Tools Focused:</w:t>
            </w:r>
            <w:r>
              <w:rPr>
                <w:color w:val="282828"/>
                <w:sz w:val="19"/>
              </w:rPr>
              <w:t xml:space="preserve"> Python, Pandas, NumPy, Scikit-Learn</w:t>
            </w:r>
          </w:p>
        </w:tc>
      </w:tr>
    </w:tbl>
    <w:p>
      <w:pPr>
        <w:spacing w:after="160"/>
      </w:pPr>
    </w:p>
    <w:p>
      <w:pPr>
        <w:keepNext/>
        <w:spacing w:before="280" w:after="80"/>
      </w:pPr>
      <w:r>
        <w:rPr>
          <w:rFonts w:ascii="Calibri" w:hAnsi="Calibri"/>
          <w:b/>
          <w:color w:val="003366"/>
          <w:sz w:val="26"/>
        </w:rPr>
        <w:t>1. Project Objectives &amp; Core Business Questions</w:t>
      </w:r>
    </w:p>
    <w:p>
      <w:r>
        <w:t>In real-world business analytics, data rarely arrives clean or analysis-ready. Operational records, CRM feeds, and transactional databases regularly suffer from missing values, sensor timeouts, duplicate keys, and manual data-entry errors. The primary objective of this project is to construct a production-ready data exploration and cleaning strategy using Python to systematically detect anomalies, treat missingness, stabilize distributions, and safeguard the accuracy of business insights.</w:t>
      </w:r>
    </w:p>
    <w:p>
      <w:r>
        <w:t>To ensure technical cleaning operations directly support practical decision-making, the strategy resolves four core business questions:</w:t>
      </w:r>
    </w:p>
    <w:p>
      <w:pPr>
        <w:spacing w:after="80"/>
        <w:ind w:left="360"/>
      </w:pPr>
      <w:r>
        <w:rPr>
          <w:b/>
          <w:color w:val="003366"/>
        </w:rPr>
        <w:t xml:space="preserve">•  </w:t>
      </w:r>
      <w:r>
        <w:rPr>
          <w:b/>
          <w:color w:val="282828"/>
        </w:rPr>
        <w:t xml:space="preserve">Business Question 1 (Revenue Skew): </w:t>
      </w:r>
      <w:r>
        <w:rPr>
          <w:color w:val="282828"/>
        </w:rPr>
        <w:t>How significantly do missing transaction tokens and unverified refund logs distort Monthly Recurring Revenue (MRR) and Average Order Value (AOV) metrics across regional billing nodes?</w:t>
      </w:r>
    </w:p>
    <w:p>
      <w:pPr>
        <w:spacing w:after="80"/>
        <w:ind w:left="360"/>
      </w:pPr>
      <w:r>
        <w:rPr>
          <w:b/>
          <w:color w:val="003366"/>
        </w:rPr>
        <w:t xml:space="preserve">•  </w:t>
      </w:r>
      <w:r>
        <w:rPr>
          <w:b/>
          <w:color w:val="282828"/>
        </w:rPr>
        <w:t xml:space="preserve">Business Question 2 (Churn Attribution): </w:t>
      </w:r>
      <w:r>
        <w:rPr>
          <w:color w:val="282828"/>
        </w:rPr>
        <w:t>What proportion of apparent customer churn is driven by systematic null records and session timeouts rather than actual customer attrition?</w:t>
      </w:r>
    </w:p>
    <w:p>
      <w:pPr>
        <w:spacing w:after="80"/>
        <w:ind w:left="360"/>
      </w:pPr>
      <w:r>
        <w:rPr>
          <w:b/>
          <w:color w:val="003366"/>
        </w:rPr>
        <w:t xml:space="preserve">•  </w:t>
      </w:r>
      <w:r>
        <w:rPr>
          <w:b/>
          <w:color w:val="282828"/>
        </w:rPr>
        <w:t xml:space="preserve">Business Question 3 (Logistics Bottlenecks): </w:t>
      </w:r>
      <w:r>
        <w:rPr>
          <w:color w:val="282828"/>
        </w:rPr>
        <w:t>Where are real delivery bottlenecks occurring when delivery delays are audited against standardized ISO-8601 timestamps rather than uncurated local timestamps?</w:t>
      </w:r>
    </w:p>
    <w:p>
      <w:pPr>
        <w:spacing w:after="80"/>
        <w:ind w:left="360"/>
      </w:pPr>
      <w:r>
        <w:rPr>
          <w:b/>
          <w:color w:val="003366"/>
        </w:rPr>
        <w:t xml:space="preserve">•  </w:t>
      </w:r>
      <w:r>
        <w:rPr>
          <w:b/>
          <w:color w:val="282828"/>
        </w:rPr>
        <w:t xml:space="preserve">Business Question 4 (Feature Dispersion &amp; Segmentation): </w:t>
      </w:r>
      <w:r>
        <w:rPr>
          <w:color w:val="282828"/>
        </w:rPr>
        <w:t>Which customer segments show variance extreme enough to require dedicated scaling pipelines instead of a single global transformation?</w:t>
      </w:r>
    </w:p>
    <w:p>
      <w:pPr>
        <w:keepNext/>
        <w:spacing w:before="280" w:after="80"/>
      </w:pPr>
      <w:r>
        <w:rPr>
          <w:rFonts w:ascii="Calibri" w:hAnsi="Calibri"/>
          <w:b/>
          <w:color w:val="003366"/>
          <w:sz w:val="26"/>
        </w:rPr>
        <w:t>2. Introduction: Data Quality in Business Analytics</w:t>
      </w:r>
    </w:p>
    <w:p>
      <w:r>
        <w:t>Data quality is the cornerstone of credible business intelligence. When poor data quality enters decision pipelines, even sophisticated machine learning models yield deceptive outputs. For example, an unflagged erroneous transaction logged at $1,200,000 instead of $1,200 severely inflates standard deviations, skews mean aggregates, and biases distance-based clustering algorithms.</w:t>
      </w:r>
    </w:p>
    <w:p>
      <w:r>
        <w:t>Industry benchmarks indicate that data exploration and cleaning consume between 70% to 80% of an analyst's workflow. Leveraging high-performance Python libraries—specifically Pandas and NumPy—allows analysts to transform unstructured and noisy datasets efficiently, replacing ad-hoc manual fixes with scalable, reproducible pipelines.</w:t>
      </w:r>
    </w:p>
    <w:p>
      <w:pPr>
        <w:keepNext/>
        <w:spacing w:before="280" w:after="80"/>
      </w:pPr>
      <w:r>
        <w:rPr>
          <w:rFonts w:ascii="Calibri" w:hAnsi="Calibri"/>
          <w:b/>
          <w:color w:val="003366"/>
          <w:sz w:val="26"/>
        </w:rPr>
        <w:t>3. Methodology: Anomaly Detection &amp; Assessment</w:t>
      </w:r>
    </w:p>
    <w:p>
      <w:r>
        <w:t>Before implementing transformations, datasets undergo structured diagnostics across three key dimensions:</w:t>
      </w:r>
    </w:p>
    <w:p>
      <w:pPr>
        <w:keepNext/>
        <w:spacing w:before="200" w:after="60"/>
      </w:pPr>
      <w:r>
        <w:rPr>
          <w:rFonts w:ascii="Calibri" w:hAnsi="Calibri"/>
          <w:b/>
          <w:color w:val="46505F"/>
          <w:sz w:val="23"/>
        </w:rPr>
        <w:t>3.1 Missing Value Diagnostics (MCAR, MAR, MNAR)</w:t>
      </w:r>
    </w:p>
    <w:p>
      <w:pPr>
        <w:spacing w:after="80"/>
        <w:ind w:left="360"/>
      </w:pPr>
      <w:r>
        <w:rPr>
          <w:b/>
          <w:color w:val="003366"/>
        </w:rPr>
        <w:t xml:space="preserve">•  </w:t>
      </w:r>
      <w:r>
        <w:rPr>
          <w:b/>
          <w:color w:val="282828"/>
        </w:rPr>
        <w:t xml:space="preserve">Missing Completely at Random (MCAR): </w:t>
      </w:r>
      <w:r>
        <w:rPr>
          <w:color w:val="282828"/>
        </w:rPr>
        <w:t>Missing values show no statistical relationship to observed or unobserved variables (e.g., random network drops). Dropping records is safe if missingness is below 2%.</w:t>
      </w:r>
    </w:p>
    <w:p>
      <w:pPr>
        <w:spacing w:after="80"/>
        <w:ind w:left="360"/>
      </w:pPr>
      <w:r>
        <w:rPr>
          <w:b/>
          <w:color w:val="003366"/>
        </w:rPr>
        <w:t xml:space="preserve">•  </w:t>
      </w:r>
      <w:r>
        <w:rPr>
          <w:b/>
          <w:color w:val="282828"/>
        </w:rPr>
        <w:t xml:space="preserve">Missing at Random (MAR): </w:t>
      </w:r>
      <w:r>
        <w:rPr>
          <w:color w:val="282828"/>
        </w:rPr>
        <w:t>Missingness correlates systematically with observed features (e.g., optional survey fields omitted more frequently on mobile devices). Addressed via conditional imputation based on known segment groupings.</w:t>
      </w:r>
    </w:p>
    <w:p>
      <w:pPr>
        <w:spacing w:after="80"/>
        <w:ind w:left="360"/>
      </w:pPr>
      <w:r>
        <w:rPr>
          <w:b/>
          <w:color w:val="003366"/>
        </w:rPr>
        <w:t xml:space="preserve">•  </w:t>
      </w:r>
      <w:r>
        <w:rPr>
          <w:b/>
          <w:color w:val="282828"/>
        </w:rPr>
        <w:t xml:space="preserve">Missing Not at Random (MNAR): </w:t>
      </w:r>
      <w:r>
        <w:rPr>
          <w:color w:val="282828"/>
        </w:rPr>
        <w:t>Missingness is directly related to the unobserved value itself (e.g., high-income earners skipping income fields). Requires explicit indicator flags to preserve signal.</w:t>
      </w:r>
    </w:p>
    <w:p>
      <w:pPr>
        <w:keepNext/>
        <w:spacing w:before="200" w:after="60"/>
      </w:pPr>
      <w:r>
        <w:rPr>
          <w:rFonts w:ascii="Calibri" w:hAnsi="Calibri"/>
          <w:b/>
          <w:color w:val="46505F"/>
          <w:sz w:val="23"/>
        </w:rPr>
        <w:t>3.2 Outlier Detection Protocols</w:t>
      </w:r>
    </w:p>
    <w:p>
      <w:pPr>
        <w:spacing w:after="80"/>
        <w:ind w:left="360"/>
      </w:pPr>
      <w:r>
        <w:rPr>
          <w:b/>
          <w:color w:val="003366"/>
        </w:rPr>
        <w:t xml:space="preserve">•  </w:t>
      </w:r>
      <w:r>
        <w:rPr>
          <w:b/>
          <w:color w:val="282828"/>
        </w:rPr>
        <w:t xml:space="preserve">Parametric Detection (Z-Score): </w:t>
      </w:r>
      <w:r>
        <w:rPr>
          <w:color w:val="282828"/>
        </w:rPr>
        <w:t>Used for Gaussian-distributed features. Data points exceeding |Z| &gt; 3.0 (outside 99.7% of empirical observations) are flagged for capping or inspection.</w:t>
      </w:r>
    </w:p>
    <w:p>
      <w:pPr>
        <w:spacing w:after="80"/>
        <w:ind w:left="360"/>
      </w:pPr>
      <w:r>
        <w:rPr>
          <w:b/>
          <w:color w:val="003366"/>
        </w:rPr>
        <w:t xml:space="preserve">•  </w:t>
      </w:r>
      <w:r>
        <w:rPr>
          <w:b/>
          <w:color w:val="282828"/>
        </w:rPr>
        <w:t xml:space="preserve">Non-Parametric Detection (IQR): </w:t>
      </w:r>
      <w:r>
        <w:rPr>
          <w:color w:val="282828"/>
        </w:rPr>
        <w:t>Applied to skewed business metrics like transaction amounts. Boundaries are calculated as: Lower = Q1 - 1.5*(IQR), Upper = Q3 + 1.5*(IQR). Extreme values outside these boundaries are isolated.</w:t>
      </w:r>
    </w:p>
    <w:p>
      <w:pPr>
        <w:keepNext/>
        <w:spacing w:before="280" w:after="80"/>
      </w:pPr>
      <w:r>
        <w:rPr>
          <w:rFonts w:ascii="Calibri" w:hAnsi="Calibri"/>
          <w:b/>
          <w:color w:val="003366"/>
          <w:sz w:val="26"/>
        </w:rPr>
        <w:t>4. Techniques: Data Cleaning, Imputation, &amp; Transformations</w:t>
      </w:r>
    </w:p>
    <w:p>
      <w:pPr>
        <w:keepNext/>
        <w:spacing w:before="200" w:after="60"/>
      </w:pPr>
      <w:r>
        <w:rPr>
          <w:rFonts w:ascii="Calibri" w:hAnsi="Calibri"/>
          <w:b/>
          <w:color w:val="46505F"/>
          <w:sz w:val="23"/>
        </w:rPr>
        <w:t>4.1 Imputation Strategies</w:t>
      </w:r>
    </w:p>
    <w:p>
      <w:pPr>
        <w:spacing w:after="80"/>
        <w:ind w:left="360"/>
      </w:pPr>
      <w:r>
        <w:rPr>
          <w:b/>
          <w:color w:val="003366"/>
        </w:rPr>
        <w:t xml:space="preserve">•  </w:t>
      </w:r>
      <w:r>
        <w:rPr>
          <w:b/>
          <w:color w:val="282828"/>
        </w:rPr>
        <w:t xml:space="preserve">Listwise Deletion: </w:t>
      </w:r>
      <w:r>
        <w:rPr>
          <w:color w:val="282828"/>
        </w:rPr>
        <w:t>Restricted strictly to low-missingness features (&lt; 2% nulls) under verified MCAR conditions.</w:t>
      </w:r>
    </w:p>
    <w:p>
      <w:pPr>
        <w:spacing w:after="80"/>
        <w:ind w:left="360"/>
      </w:pPr>
      <w:r>
        <w:rPr>
          <w:b/>
          <w:color w:val="003366"/>
        </w:rPr>
        <w:t xml:space="preserve">•  </w:t>
      </w:r>
      <w:r>
        <w:rPr>
          <w:b/>
          <w:color w:val="282828"/>
        </w:rPr>
        <w:t xml:space="preserve">Median Imputation: </w:t>
      </w:r>
      <w:r>
        <w:rPr>
          <w:color w:val="282828"/>
        </w:rPr>
        <w:t>Applied to asymmetric continuous variables (e.g., Customer Lifetime Value, session duration) to resist outlier bias.</w:t>
      </w:r>
    </w:p>
    <w:p>
      <w:pPr>
        <w:spacing w:after="80"/>
        <w:ind w:left="360"/>
      </w:pPr>
      <w:r>
        <w:rPr>
          <w:b/>
          <w:color w:val="003366"/>
        </w:rPr>
        <w:t xml:space="preserve">•  </w:t>
      </w:r>
      <w:r>
        <w:rPr>
          <w:b/>
          <w:color w:val="282828"/>
        </w:rPr>
        <w:t xml:space="preserve">Categorical Handling: </w:t>
      </w:r>
      <w:r>
        <w:rPr>
          <w:color w:val="282828"/>
        </w:rPr>
        <w:t>Categorical nulls are imputed with the column mode or assigned an explicit 'unknown' category.</w:t>
      </w:r>
    </w:p>
    <w:p>
      <w:pPr>
        <w:keepNext/>
        <w:spacing w:before="200" w:after="60"/>
      </w:pPr>
      <w:r>
        <w:rPr>
          <w:rFonts w:ascii="Calibri" w:hAnsi="Calibri"/>
          <w:b/>
          <w:color w:val="46505F"/>
          <w:sz w:val="23"/>
        </w:rPr>
        <w:t>4.2 Normalization and Feature Scaling</w:t>
      </w:r>
    </w:p>
    <w:p>
      <w:pPr>
        <w:spacing w:after="80"/>
        <w:ind w:left="360"/>
      </w:pPr>
      <w:r>
        <w:rPr>
          <w:b/>
          <w:color w:val="003366"/>
        </w:rPr>
        <w:t xml:space="preserve">•  </w:t>
      </w:r>
      <w:r>
        <w:rPr>
          <w:b/>
          <w:color w:val="282828"/>
        </w:rPr>
        <w:t xml:space="preserve">StandardScaler (Z-Score Normalization): </w:t>
      </w:r>
      <w:r>
        <w:rPr>
          <w:color w:val="282828"/>
        </w:rPr>
        <w:t>Transforms distributions to mean 0 and unit variance (sigma = 1). Crucial for distance-sensitive algorithms like PCA and K-Means.</w:t>
      </w:r>
    </w:p>
    <w:p>
      <w:pPr>
        <w:spacing w:after="80"/>
        <w:ind w:left="360"/>
      </w:pPr>
      <w:r>
        <w:rPr>
          <w:b/>
          <w:color w:val="003366"/>
        </w:rPr>
        <w:t xml:space="preserve">•  </w:t>
      </w:r>
      <w:r>
        <w:rPr>
          <w:b/>
          <w:color w:val="282828"/>
        </w:rPr>
        <w:t xml:space="preserve">Min-Max Normalization: </w:t>
      </w:r>
      <w:r>
        <w:rPr>
          <w:color w:val="282828"/>
        </w:rPr>
        <w:t>Rescales features strictly into the [0, 1] interval, suitable for bounded algorithms.</w:t>
      </w:r>
    </w:p>
    <w:p>
      <w:pPr>
        <w:spacing w:after="80"/>
        <w:ind w:left="360"/>
      </w:pPr>
      <w:r>
        <w:rPr>
          <w:b/>
          <w:color w:val="003366"/>
        </w:rPr>
        <w:t xml:space="preserve">•  </w:t>
      </w:r>
      <w:r>
        <w:rPr>
          <w:b/>
          <w:color w:val="282828"/>
        </w:rPr>
        <w:t xml:space="preserve">Winsorization &amp; Log Transformations: </w:t>
      </w:r>
      <w:r>
        <w:rPr>
          <w:color w:val="282828"/>
        </w:rPr>
        <w:t>Heavily skewed financial distributions are transformed via log1p [Y = ln(X + 1)] or winsorized to the 99th percentile to retain data volume while neutralizing extreme variance.</w:t>
      </w:r>
    </w:p>
    <w:p>
      <w:pPr>
        <w:keepNext/>
        <w:spacing w:before="200" w:after="60"/>
      </w:pPr>
      <w:r>
        <w:rPr>
          <w:rFonts w:ascii="Calibri" w:hAnsi="Calibri"/>
          <w:b/>
          <w:color w:val="46505F"/>
          <w:sz w:val="23"/>
        </w:rPr>
        <w:t>4.3 Field-Level Cleaning Protocol &amp; Validation Thresholds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03366"/>
            <w:tcMar>
              <w:top w:w="100" w:type="dxa"/>
              <w:bottom w:w="100" w:type="dxa"/>
              <w:left w:w="120" w:type="dxa"/>
              <w:right w:w="120" w:type="dxa"/>
            </w:tcMar>
          </w:tcPr>
          <w:p>
            <w:pPr>
              <w:spacing w:after="0"/>
            </w:pPr>
            <w:r>
              <w:rPr>
                <w:b/>
                <w:color w:val="FFFFFF"/>
                <w:sz w:val="19"/>
              </w:rPr>
              <w:t>Feature Field</w:t>
            </w:r>
          </w:p>
        </w:tc>
        <w:tc>
          <w:tcPr>
            <w:tcW w:type="dxa" w:w="2340"/>
            <w:shd w:val="clear" w:color="auto" w:fill="003366"/>
            <w:tcMar>
              <w:top w:w="100" w:type="dxa"/>
              <w:bottom w:w="100" w:type="dxa"/>
              <w:left w:w="120" w:type="dxa"/>
              <w:right w:w="120" w:type="dxa"/>
            </w:tcMar>
          </w:tcPr>
          <w:p>
            <w:pPr>
              <w:spacing w:after="0"/>
            </w:pPr>
            <w:r>
              <w:rPr>
                <w:b/>
                <w:color w:val="FFFFFF"/>
                <w:sz w:val="19"/>
              </w:rPr>
              <w:t>Detected Anomaly</w:t>
            </w:r>
          </w:p>
        </w:tc>
        <w:tc>
          <w:tcPr>
            <w:tcW w:type="dxa" w:w="2340"/>
            <w:shd w:val="clear" w:color="auto" w:fill="003366"/>
            <w:tcMar>
              <w:top w:w="100" w:type="dxa"/>
              <w:bottom w:w="100" w:type="dxa"/>
              <w:left w:w="120" w:type="dxa"/>
              <w:right w:w="120" w:type="dxa"/>
            </w:tcMar>
          </w:tcPr>
          <w:p>
            <w:pPr>
              <w:spacing w:after="0"/>
            </w:pPr>
            <w:r>
              <w:rPr>
                <w:b/>
                <w:color w:val="FFFFFF"/>
                <w:sz w:val="19"/>
              </w:rPr>
              <w:t>Cleaning &amp; Transformation Rule</w:t>
            </w:r>
          </w:p>
        </w:tc>
        <w:tc>
          <w:tcPr>
            <w:tcW w:type="dxa" w:w="2340"/>
            <w:shd w:val="clear" w:color="auto" w:fill="003366"/>
            <w:tcMar>
              <w:top w:w="100" w:type="dxa"/>
              <w:bottom w:w="100" w:type="dxa"/>
              <w:left w:w="120" w:type="dxa"/>
              <w:right w:w="120" w:type="dxa"/>
            </w:tcMar>
          </w:tcPr>
          <w:p>
            <w:pPr>
              <w:spacing w:after="0"/>
            </w:pPr>
            <w:r>
              <w:rPr>
                <w:b/>
                <w:color w:val="FFFFFF"/>
                <w:sz w:val="19"/>
              </w:rPr>
              <w:t>Validation Criteria</w:t>
            </w:r>
          </w:p>
        </w:tc>
      </w:tr>
      <w:tr>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Transaction_Amount</w:t>
            </w:r>
          </w:p>
        </w:tc>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Negative values &amp; severe upper skew ($0.01 to $850,000)</w:t>
            </w:r>
          </w:p>
        </w:tc>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Drop negative entries (&lt; $0.00); apply log1p transform and winsorize at 99th percentile ($12,450.00).</w:t>
            </w:r>
          </w:p>
        </w:tc>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100% positive values; skewness coefficient reduced from 8.42 to 0.65.</w:t>
            </w:r>
          </w:p>
        </w:tc>
      </w:tr>
      <w:tr>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Customer_Age</w:t>
            </w:r>
          </w:p>
        </w:tc>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Extreme invalid entries (-5, 142) and 4.2% null records</w:t>
            </w:r>
          </w:p>
        </w:tc>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Filter valid range [18 to 95]; impute missing records with segment-specific median (34 years).</w:t>
            </w:r>
          </w:p>
        </w:tc>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0 null records remaining; age range strictly bounded within [18, 95].</w:t>
            </w:r>
          </w:p>
        </w:tc>
      </w:tr>
      <w:tr>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Order_Timestamp</w:t>
            </w:r>
          </w:p>
        </w:tc>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Mixed date formats ('YYYY-MM-DD', 'MM/DD/YYYY') and missing timezones</w:t>
            </w:r>
          </w:p>
        </w:tc>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Coerce via pd.to_datetime(utc=True); enforce standard ISO-8601 formatting.</w:t>
            </w:r>
          </w:p>
        </w:tc>
        <w:tc>
          <w:tcPr>
            <w:tcW w:type="dxa" w:w="2340"/>
            <w:shd w:val="clear" w:color="auto" w:fill="FFFFFF"/>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Uniform datetime64[ns, UTC] dtype; zero parse errors across all rows.</w:t>
            </w:r>
          </w:p>
        </w:tc>
      </w:tr>
      <w:tr>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Account_Status</w:t>
            </w:r>
          </w:p>
        </w:tc>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Case variation ('Active', 'active', 'ACTIVE ') and 1.8% nulls</w:t>
            </w:r>
          </w:p>
        </w:tc>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Strip leading/trailing whitespace, apply .str.lower(), impute nulls with 'unknown'.</w:t>
            </w:r>
          </w:p>
        </w:tc>
        <w:tc>
          <w:tcPr>
            <w:tcW w:type="dxa" w:w="2340"/>
            <w:shd w:val="clear" w:color="auto" w:fill="F9FAFB"/>
            <w:tcMar>
              <w:top w:w="80" w:type="dxa"/>
              <w:bottom w:w="80" w:type="dxa"/>
              <w:left w:w="120" w:type="dxa"/>
              <w:right w:w="120" w:type="dxa"/>
            </w:tcMar>
            <w:tcBorders>
              <w:top w:val="single" w:sz="2" w:space="0" w:color="E0E0E0"/>
              <w:bottom w:val="single" w:sz="2" w:space="0" w:color="E0E0E0"/>
              <w:left w:val="single" w:sz="2" w:space="0" w:color="E0E0E0"/>
              <w:right w:val="single" w:sz="2" w:space="0" w:color="E0E0E0"/>
            </w:tcBorders>
          </w:tcPr>
          <w:p>
            <w:pPr>
              <w:spacing w:after="0"/>
            </w:pPr>
            <w:r>
              <w:rPr>
                <w:color w:val="282828"/>
                <w:sz w:val="18"/>
              </w:rPr>
              <w:t>Exact cardinality of 3 categories ('active', 'suspended', 'unknown').</w:t>
            </w:r>
          </w:p>
        </w:tc>
      </w:tr>
    </w:tbl>
    <w:p>
      <w:pPr>
        <w:spacing w:after="120"/>
      </w:pPr>
    </w:p>
    <w:p>
      <w:pPr>
        <w:keepNext/>
        <w:spacing w:before="280" w:after="80"/>
      </w:pPr>
      <w:r>
        <w:rPr>
          <w:rFonts w:ascii="Calibri" w:hAnsi="Calibri"/>
          <w:b/>
          <w:color w:val="003366"/>
          <w:sz w:val="26"/>
        </w:rPr>
        <w:t>5. Pseudocode Implementation Examples</w:t>
      </w:r>
    </w:p>
    <w:p>
      <w:r>
        <w:t>The following pseudocode outlines the complete pipeline across data ingestion, IQR winsorization, and partition-safe normalization:</w:t>
      </w:r>
    </w:p>
    <w:tbl>
      <w:tblPr>
        <w:tblW w:type="auto" w:w="0"/>
        <w:jc w:val="center"/>
        <w:tblLook w:firstColumn="1" w:firstRow="1" w:lastColumn="0" w:lastRow="0" w:noHBand="0" w:noVBand="1" w:val="04A0"/>
      </w:tblPr>
      <w:tblGrid>
        <w:gridCol w:w="9360"/>
      </w:tblGrid>
      <w:tr>
        <w:tc>
          <w:tcPr>
            <w:tcW w:type="dxa" w:w="9360"/>
            <w:shd w:val="clear" w:color="auto" w:fill="F4F6F9"/>
            <w:tcMar>
              <w:top w:w="100" w:type="dxa"/>
              <w:bottom w:w="100" w:type="dxa"/>
              <w:left w:w="150" w:type="dxa"/>
              <w:right w:w="150" w:type="dxa"/>
            </w:tcMar>
            <w:tcBorders>
              <w:left w:val="single" w:sz="12" w:space="0" w:color="003366"/>
              <w:top w:val="none" w:sz="4" w:space="0" w:color="auto"/>
              <w:right w:val="none" w:sz="4" w:space="0" w:color="auto"/>
              <w:bottom w:val="none" w:sz="4" w:space="0" w:color="auto"/>
            </w:tcBorders>
          </w:tcPr>
          <w:p>
            <w:pPr>
              <w:spacing w:after="0"/>
            </w:pPr>
            <w:r>
              <w:rPr>
                <w:rFonts w:ascii="Consolas" w:hAnsi="Consolas"/>
                <w:color w:val="1E293B"/>
                <w:sz w:val="17"/>
              </w:rPr>
              <w:t># =====================================================================</w:t>
              <w:br/>
              <w:t># PIPELINE MODULE 1: INGESTION, AUDITING &amp; SCHEMA ENFORCEMENT</w:t>
              <w:br/>
              <w:t># =====================================================================</w:t>
              <w:br/>
              <w:t>FUNCTION ingest_and_audit(file_path):</w:t>
              <w:br/>
              <w:t xml:space="preserve">    df = READ_CSV(file_path, low_memory=False)</w:t>
              <w:br/>
              <w:t xml:space="preserve">    PRINT('Initial Shape: ', GET_SHAPE(df))</w:t>
              <w:br/>
              <w:t xml:space="preserve">    </w:t>
              <w:br/>
              <w:t xml:space="preserve">    # Calculate null percentage per column</w:t>
              <w:br/>
              <w:t xml:space="preserve">    null_pct = (COUNT_NULL(df) / TOTAL_ROWS(df)) * 100</w:t>
              <w:br/>
              <w:t xml:space="preserve">    PRINT('Missingness Matrix (%):\n', null_pct)</w:t>
              <w:br/>
              <w:t xml:space="preserve">    </w:t>
              <w:br/>
              <w:t xml:space="preserve">    # Standardize string columns (whitespace, lowercase)</w:t>
              <w:br/>
              <w:t xml:space="preserve">    FOR col IN df.COLUMNS WHERE DTYPE(col) == 'object':</w:t>
              <w:br/>
              <w:t xml:space="preserve">        df[col] = STR_TRIM(df[col])</w:t>
              <w:br/>
              <w:t xml:space="preserve">        df[col] = STR_LOWER(df[col])</w:t>
              <w:br/>
              <w:t xml:space="preserve">        </w:t>
              <w:br/>
              <w:t xml:space="preserve">    # Parse dates cleanly</w:t>
              <w:br/>
              <w:t xml:space="preserve">    IF 'timestamp' IN df.COLUMNS:</w:t>
              <w:br/>
              <w:t xml:space="preserve">        df['timestamp'] = PARSE_DATETIME(df['timestamp'], UTC=True)</w:t>
              <w:br/>
              <w:t xml:space="preserve">        </w:t>
              <w:br/>
              <w:t xml:space="preserve">    RETURN df</w:t>
              <w:br/>
              <w:br/>
              <w:t># =====================================================================</w:t>
              <w:br/>
              <w:t># PIPELINE MODULE 2: NON-PARAMETRIC OUTLIER WINSORIZATION (IQR)</w:t>
              <w:br/>
              <w:t># =====================================================================</w:t>
              <w:br/>
              <w:t>FUNCTION sanitize_outliers_iqr(df, numeric_columns):</w:t>
              <w:br/>
              <w:t xml:space="preserve">    FOR col IN numeric_columns:</w:t>
              <w:br/>
              <w:t xml:space="preserve">        q25 = PERCENTILE(df[col], 25)</w:t>
              <w:br/>
              <w:t xml:space="preserve">        q75 = PERCENTILE(df[col], 75)</w:t>
              <w:br/>
              <w:t xml:space="preserve">        iqr = q75 - q25</w:t>
              <w:br/>
              <w:t xml:space="preserve">        lower_fence = q25 - (1.5 * iqr)</w:t>
              <w:br/>
              <w:t xml:space="preserve">        upper_fence = q75 + (1.5 * iqr)</w:t>
              <w:br/>
              <w:t xml:space="preserve">        </w:t>
              <w:br/>
              <w:t xml:space="preserve">        # Winsorize bounds to preserve sample integrity</w:t>
              <w:br/>
              <w:t xml:space="preserve">        df[col] = CLIP(df[col], lower=lower_fence, upper=upper_fence)</w:t>
              <w:br/>
              <w:t xml:space="preserve">    RETURN df</w:t>
              <w:br/>
              <w:br/>
              <w:t># =====================================================================</w:t>
              <w:br/>
              <w:t># PIPELINE MODULE 3: CORRELATION-AWARE IMPUTATION &amp; SCALING</w:t>
              <w:br/>
              <w:t># =====================================================================</w:t>
              <w:br/>
              <w:t>FUNCTION transform_features(df, train_indices, test_indices):</w:t>
              <w:br/>
              <w:t xml:space="preserve">    # Compute statistical parameters STRICTLY on training split</w:t>
              <w:br/>
              <w:t xml:space="preserve">    train_data = df.LOC[train_indices]</w:t>
              <w:br/>
              <w:t xml:space="preserve">    med_age = MEDIAN(train_data['Customer_Age'])</w:t>
              <w:br/>
              <w:t xml:space="preserve">    scaler = FIT_STANDARD_SCALER(train_data[['Customer_Age', 'Transaction_Amount']])</w:t>
              <w:br/>
              <w:t xml:space="preserve">    </w:t>
              <w:br/>
              <w:t xml:space="preserve">    # Apply fitted parameters across both train and test splits</w:t>
              <w:br/>
              <w:t xml:space="preserve">    df['Customer_Age'] = FILL_NULL(df['Customer_Age'], med_age)</w:t>
              <w:br/>
              <w:t xml:space="preserve">    df[['Customer_Age_scaled', 'Amount_scaled']] = TRANSFORM(scaler, df[['Customer_Age', 'Transaction_Amount']])</w:t>
              <w:br/>
              <w:t xml:space="preserve">    RETURN df</w:t>
            </w:r>
          </w:p>
        </w:tc>
      </w:tr>
    </w:tbl>
    <w:p>
      <w:pPr>
        <w:spacing w:after="160"/>
      </w:pPr>
    </w:p>
    <w:p>
      <w:pPr>
        <w:keepNext/>
        <w:spacing w:before="280" w:after="80"/>
      </w:pPr>
      <w:r>
        <w:rPr>
          <w:rFonts w:ascii="Calibri" w:hAnsi="Calibri"/>
          <w:b/>
          <w:color w:val="003366"/>
          <w:sz w:val="26"/>
        </w:rPr>
        <w:t>6. Best Practices &amp; Common Analytical Pitfalls</w:t>
      </w:r>
    </w:p>
    <w:p>
      <w:pPr>
        <w:spacing w:after="80"/>
        <w:ind w:left="360"/>
      </w:pPr>
      <w:r>
        <w:rPr>
          <w:b/>
          <w:color w:val="003366"/>
        </w:rPr>
        <w:t xml:space="preserve">•  </w:t>
      </w:r>
      <w:r>
        <w:rPr>
          <w:b/>
          <w:color w:val="282828"/>
        </w:rPr>
        <w:t xml:space="preserve">Preventing Data Leakage: </w:t>
      </w:r>
      <w:r>
        <w:rPr>
          <w:color w:val="282828"/>
        </w:rPr>
        <w:t>A widespread error is calculating normalization scalers, imputation medians, or IQR fences across the entire dataset before train-test partitioning. This leaks future distribution statistics into model training. Always fit transformers on training splits only and apply learned parameters to testing sets.</w:t>
      </w:r>
    </w:p>
    <w:p>
      <w:pPr>
        <w:spacing w:after="80"/>
        <w:ind w:left="360"/>
      </w:pPr>
      <w:r>
        <w:rPr>
          <w:b/>
          <w:color w:val="003366"/>
        </w:rPr>
        <w:t xml:space="preserve">•  </w:t>
      </w:r>
      <w:r>
        <w:rPr>
          <w:b/>
          <w:color w:val="282828"/>
        </w:rPr>
        <w:t xml:space="preserve">Avoiding Distorting Mean Imputation: </w:t>
      </w:r>
      <w:r>
        <w:rPr>
          <w:color w:val="282828"/>
        </w:rPr>
        <w:t>Imputing multi-modal variables (e.g., product prices across multiple categories) with a single global mean flattens variance and ruins bivariate correlations. Impute conditionally by group or apply KNN/Iterative models.</w:t>
      </w:r>
    </w:p>
    <w:p>
      <w:pPr>
        <w:spacing w:after="80"/>
        <w:ind w:left="360"/>
      </w:pPr>
      <w:r>
        <w:rPr>
          <w:b/>
          <w:color w:val="003366"/>
        </w:rPr>
        <w:t xml:space="preserve">•  </w:t>
      </w:r>
      <w:r>
        <w:rPr>
          <w:b/>
          <w:color w:val="282828"/>
        </w:rPr>
        <w:t xml:space="preserve">Auditing Outlier Business Context: </w:t>
      </w:r>
      <w:r>
        <w:rPr>
          <w:color w:val="282828"/>
        </w:rPr>
        <w:t>Not all outliers are errors. In fraud detection or enterprise B2B sales, extreme transactions represent the primary target behavior. Verify data source logging before automatically dropping high-variance records.</w:t>
      </w:r>
    </w:p>
    <w:p>
      <w:pPr>
        <w:spacing w:after="80"/>
        <w:ind w:left="360"/>
      </w:pPr>
      <w:r>
        <w:rPr>
          <w:b/>
          <w:color w:val="003366"/>
        </w:rPr>
        <w:t xml:space="preserve">•  </w:t>
      </w:r>
      <w:r>
        <w:rPr>
          <w:b/>
          <w:color w:val="282828"/>
        </w:rPr>
        <w:t xml:space="preserve">Defensive Categorical Handling: </w:t>
      </w:r>
      <w:r>
        <w:rPr>
          <w:color w:val="282828"/>
        </w:rPr>
        <w:t>Ensure unseen categories in future deployment batches do not crash production inference. Use robust one-hot encoders with handle_unknown='ignore' or group sparse classes into an 'Other' bucket.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