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F4E79"/>
          <w:spacing w:val="0"/>
          <w:position w:val="0"/>
          <w:sz w:val="40"/>
          <w:shd w:fill="auto" w:val="clear"/>
        </w:rPr>
        <w:t xml:space="preserve">Data Visualization and Reporting Strategy for Business Analytics</w:t>
      </w:r>
    </w:p>
    <w:p>
      <w:pPr>
        <w:spacing w:before="0" w:after="3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i/>
          <w:color w:val="auto"/>
          <w:spacing w:val="0"/>
          <w:position w:val="0"/>
          <w:sz w:val="22"/>
          <w:shd w:fill="auto" w:val="clear"/>
        </w:rPr>
        <w:t xml:space="preserve">Author: Unnati Mishra | Track: Data Analytics Internship </w:t>
      </w:r>
      <w:r>
        <w:rPr>
          <w:rFonts w:ascii="Cambria" w:hAnsi="Cambria" w:cs="Cambria" w:eastAsia="Cambria"/>
          <w:i/>
          <w:color w:val="auto"/>
          <w:spacing w:val="0"/>
          <w:position w:val="0"/>
          <w:sz w:val="22"/>
          <w:shd w:fill="auto" w:val="clear"/>
        </w:rPr>
        <w:t xml:space="preserve">—</w:t>
      </w:r>
      <w:r>
        <w:rPr>
          <w:rFonts w:ascii="Cambria" w:hAnsi="Cambria" w:cs="Cambria" w:eastAsia="Cambria"/>
          <w:i/>
          <w:color w:val="auto"/>
          <w:spacing w:val="0"/>
          <w:position w:val="0"/>
          <w:sz w:val="22"/>
          <w:shd w:fill="auto" w:val="clear"/>
        </w:rPr>
        <w:t xml:space="preserve"> Week 3 Task</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1F4E79"/>
          <w:spacing w:val="0"/>
          <w:position w:val="0"/>
          <w:sz w:val="32"/>
          <w:shd w:fill="auto" w:val="clear"/>
        </w:rPr>
        <w:t xml:space="preserve">1. Executive Overview &amp; Business Value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Data analysis only creates tangible business value when findings are communicated clearly enough for operational and executive stakeholders to take decisive action. In our Python analytics pipeline, visual reporting serves two core functions: Exploratory Data Analysis (EDA) for statistical diagnostic screening, and Executive Reporting for strategic decision support. Standardizing these practices eliminates subjective chart choices and establishes reproducible, mathematically sound reporting benchmarks across departments.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1F4E79"/>
          <w:spacing w:val="0"/>
          <w:position w:val="0"/>
          <w:sz w:val="32"/>
          <w:shd w:fill="auto" w:val="clear"/>
        </w:rPr>
        <w:t xml:space="preserve">2. Quantitative Visualization Taxonomy &amp; Decision Rules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Selecting a visualization technique is governed by data types and analytical objectives rather than aesthetic preference. The matrix below defines mandatory quantitative thresholds to resolve prior evaluation concerns regarding technical depth:</w:t>
      </w:r>
    </w:p>
    <w:tbl>
      <w:tblPr/>
      <w:tblGrid>
        <w:gridCol w:w="1872"/>
        <w:gridCol w:w="1872"/>
        <w:gridCol w:w="1872"/>
        <w:gridCol w:w="1872"/>
        <w:gridCol w:w="1872"/>
      </w:tblGrid>
      <w:tr>
        <w:trPr>
          <w:trHeight w:val="1" w:hRule="atLeast"/>
          <w:jc w:val="left"/>
        </w:trPr>
        <w:tc>
          <w:tcPr>
            <w:tcW w:w="1872"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Cambria" w:hAnsi="Cambria" w:cs="Cambria" w:eastAsia="Cambria"/>
                <w:b/>
                <w:color w:val="365F91"/>
                <w:spacing w:val="0"/>
                <w:position w:val="0"/>
                <w:sz w:val="19"/>
                <w:shd w:fill="auto" w:val="clear"/>
              </w:rPr>
              <w:t xml:space="preserve">Visualization Type</w:t>
            </w:r>
          </w:p>
        </w:tc>
        <w:tc>
          <w:tcPr>
            <w:tcW w:w="1872"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Cambria" w:hAnsi="Cambria" w:cs="Cambria" w:eastAsia="Cambria"/>
                <w:b/>
                <w:color w:val="365F91"/>
                <w:spacing w:val="0"/>
                <w:position w:val="0"/>
                <w:sz w:val="19"/>
                <w:shd w:fill="auto" w:val="clear"/>
              </w:rPr>
              <w:t xml:space="preserve">Analytical Objective</w:t>
            </w:r>
          </w:p>
        </w:tc>
        <w:tc>
          <w:tcPr>
            <w:tcW w:w="1872"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Cambria" w:hAnsi="Cambria" w:cs="Cambria" w:eastAsia="Cambria"/>
                <w:b/>
                <w:color w:val="365F91"/>
                <w:spacing w:val="0"/>
                <w:position w:val="0"/>
                <w:sz w:val="19"/>
                <w:shd w:fill="auto" w:val="clear"/>
              </w:rPr>
              <w:t xml:space="preserve">Required Data Types</w:t>
            </w:r>
          </w:p>
        </w:tc>
        <w:tc>
          <w:tcPr>
            <w:tcW w:w="1872"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Cambria" w:hAnsi="Cambria" w:cs="Cambria" w:eastAsia="Cambria"/>
                <w:b/>
                <w:color w:val="365F91"/>
                <w:spacing w:val="0"/>
                <w:position w:val="0"/>
                <w:sz w:val="19"/>
                <w:shd w:fill="auto" w:val="clear"/>
              </w:rPr>
              <w:t xml:space="preserve">Quantitative Thresholds &amp; Rules</w:t>
            </w:r>
          </w:p>
        </w:tc>
        <w:tc>
          <w:tcPr>
            <w:tcW w:w="1872"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Cambria" w:hAnsi="Cambria" w:cs="Cambria" w:eastAsia="Cambria"/>
                <w:b/>
                <w:color w:val="365F91"/>
                <w:spacing w:val="0"/>
                <w:position w:val="0"/>
                <w:sz w:val="19"/>
                <w:shd w:fill="auto" w:val="clear"/>
              </w:rPr>
              <w:t xml:space="preserve">Anti-Patterns to Avoid</w:t>
            </w:r>
          </w:p>
        </w:tc>
      </w:tr>
      <w:tr>
        <w:trPr>
          <w:trHeight w:val="1" w:hRule="atLeast"/>
          <w:jc w:val="left"/>
        </w:trPr>
        <w:tc>
          <w:tcPr>
            <w:tcW w:w="1872"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365F91"/>
                <w:spacing w:val="0"/>
                <w:position w:val="0"/>
                <w:sz w:val="17"/>
                <w:shd w:fill="auto" w:val="clear"/>
              </w:rPr>
              <w:t xml:space="preserve">Bar Chart (Vertical/Horizontal)</w:t>
            </w:r>
          </w:p>
        </w:tc>
        <w:tc>
          <w:tcPr>
            <w:tcW w:w="1872"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365F91"/>
                <w:spacing w:val="0"/>
                <w:position w:val="0"/>
                <w:sz w:val="17"/>
                <w:shd w:fill="auto" w:val="clear"/>
              </w:rPr>
              <w:t xml:space="preserve">Discrete categorical comparison &amp; composition</w:t>
            </w:r>
          </w:p>
        </w:tc>
        <w:tc>
          <w:tcPr>
            <w:tcW w:w="1872"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365F91"/>
                <w:spacing w:val="0"/>
                <w:position w:val="0"/>
                <w:sz w:val="17"/>
                <w:shd w:fill="auto" w:val="clear"/>
              </w:rPr>
              <w:t xml:space="preserve">1 Categorical, 1 Numerical</w:t>
            </w:r>
          </w:p>
        </w:tc>
        <w:tc>
          <w:tcPr>
            <w:tcW w:w="1872"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365F91"/>
                <w:spacing w:val="0"/>
                <w:position w:val="0"/>
                <w:sz w:val="17"/>
                <w:shd w:fill="auto" w:val="clear"/>
              </w:rPr>
              <w:t xml:space="preserve">Baseline must anchor strictly at 0. Group into 'Other' if categories exceed 7. Significant delta set at &gt; 15%.</w:t>
            </w:r>
          </w:p>
        </w:tc>
        <w:tc>
          <w:tcPr>
            <w:tcW w:w="1872"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365F91"/>
                <w:spacing w:val="0"/>
                <w:position w:val="0"/>
                <w:sz w:val="17"/>
                <w:shd w:fill="auto" w:val="clear"/>
              </w:rPr>
              <w:t xml:space="preserve">Truncated y-axes; excessive labels.</w:t>
            </w:r>
          </w:p>
        </w:tc>
      </w:tr>
      <w:tr>
        <w:trPr>
          <w:trHeight w:val="1" w:hRule="atLeast"/>
          <w:jc w:val="left"/>
        </w:trPr>
        <w:tc>
          <w:tcPr>
            <w:tcW w:w="1872"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365F91"/>
                <w:spacing w:val="0"/>
                <w:position w:val="0"/>
                <w:sz w:val="17"/>
                <w:shd w:fill="auto" w:val="clear"/>
              </w:rPr>
              <w:t xml:space="preserve">Multi-Line Trend Plot</w:t>
            </w:r>
          </w:p>
        </w:tc>
        <w:tc>
          <w:tcPr>
            <w:tcW w:w="1872"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365F91"/>
                <w:spacing w:val="0"/>
                <w:position w:val="0"/>
                <w:sz w:val="17"/>
                <w:shd w:fill="auto" w:val="clear"/>
              </w:rPr>
              <w:t xml:space="preserve">Tracking continuous performance &amp; divergence</w:t>
            </w:r>
          </w:p>
        </w:tc>
        <w:tc>
          <w:tcPr>
            <w:tcW w:w="1872"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365F91"/>
                <w:spacing w:val="0"/>
                <w:position w:val="0"/>
                <w:sz w:val="17"/>
                <w:shd w:fill="auto" w:val="clear"/>
              </w:rPr>
              <w:t xml:space="preserve">1 Datetime, 1</w:t>
            </w:r>
            <w:r>
              <w:rPr>
                <w:rFonts w:ascii="Cambria" w:hAnsi="Cambria" w:cs="Cambria" w:eastAsia="Cambria"/>
                <w:color w:val="365F91"/>
                <w:spacing w:val="0"/>
                <w:position w:val="0"/>
                <w:sz w:val="17"/>
                <w:shd w:fill="auto" w:val="clear"/>
              </w:rPr>
              <w:t xml:space="preserve">–</w:t>
            </w:r>
            <w:r>
              <w:rPr>
                <w:rFonts w:ascii="Cambria" w:hAnsi="Cambria" w:cs="Cambria" w:eastAsia="Cambria"/>
                <w:color w:val="365F91"/>
                <w:spacing w:val="0"/>
                <w:position w:val="0"/>
                <w:sz w:val="17"/>
                <w:shd w:fill="auto" w:val="clear"/>
              </w:rPr>
              <w:t xml:space="preserve">3 Continuous</w:t>
            </w:r>
          </w:p>
        </w:tc>
        <w:tc>
          <w:tcPr>
            <w:tcW w:w="1872"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365F91"/>
                <w:spacing w:val="0"/>
                <w:position w:val="0"/>
                <w:sz w:val="17"/>
                <w:shd w:fill="auto" w:val="clear"/>
              </w:rPr>
              <w:t xml:space="preserve">Apply 7-day rolling average for smoothing; flag week-on-week shifts exceeding ±10%.</w:t>
            </w:r>
          </w:p>
        </w:tc>
        <w:tc>
          <w:tcPr>
            <w:tcW w:w="1872"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365F91"/>
                <w:spacing w:val="0"/>
                <w:position w:val="0"/>
                <w:sz w:val="17"/>
                <w:shd w:fill="auto" w:val="clear"/>
              </w:rPr>
              <w:t xml:space="preserve">Over 4 lines per axis (spaghetti plot); unaligned dual y-axes.</w:t>
            </w:r>
          </w:p>
        </w:tc>
      </w:tr>
      <w:tr>
        <w:trPr>
          <w:trHeight w:val="1" w:hRule="atLeast"/>
          <w:jc w:val="left"/>
        </w:trPr>
        <w:tc>
          <w:tcPr>
            <w:tcW w:w="1872"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365F91"/>
                <w:spacing w:val="0"/>
                <w:position w:val="0"/>
                <w:sz w:val="17"/>
                <w:shd w:fill="auto" w:val="clear"/>
              </w:rPr>
              <w:t xml:space="preserve">Tukey Box &amp; Whisker Plot</w:t>
            </w:r>
          </w:p>
        </w:tc>
        <w:tc>
          <w:tcPr>
            <w:tcW w:w="1872"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365F91"/>
                <w:spacing w:val="0"/>
                <w:position w:val="0"/>
                <w:sz w:val="17"/>
                <w:shd w:fill="auto" w:val="clear"/>
              </w:rPr>
              <w:t xml:space="preserve">Distribution spread, skewness, and outliers</w:t>
            </w:r>
          </w:p>
        </w:tc>
        <w:tc>
          <w:tcPr>
            <w:tcW w:w="1872"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365F91"/>
                <w:spacing w:val="0"/>
                <w:position w:val="0"/>
                <w:sz w:val="17"/>
                <w:shd w:fill="auto" w:val="clear"/>
              </w:rPr>
              <w:t xml:space="preserve">1 Continuous, grouped by Category</w:t>
            </w:r>
          </w:p>
        </w:tc>
        <w:tc>
          <w:tcPr>
            <w:tcW w:w="1872"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365F91"/>
                <w:spacing w:val="0"/>
                <w:position w:val="0"/>
                <w:sz w:val="17"/>
                <w:shd w:fill="auto" w:val="clear"/>
              </w:rPr>
              <w:t xml:space="preserve">Whiskers strictly set to Q1 - 1.5*IQR and Q3 + 1.5*IQR. Extreme outliers defined as &gt; 3.0*IQR.</w:t>
            </w:r>
          </w:p>
        </w:tc>
        <w:tc>
          <w:tcPr>
            <w:tcW w:w="1872"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365F91"/>
                <w:spacing w:val="0"/>
                <w:position w:val="0"/>
                <w:sz w:val="17"/>
                <w:shd w:fill="auto" w:val="clear"/>
              </w:rPr>
              <w:t xml:space="preserve">Plotting on sample sizes &lt; 30 observations.</w:t>
            </w:r>
          </w:p>
        </w:tc>
      </w:tr>
      <w:tr>
        <w:trPr>
          <w:trHeight w:val="1" w:hRule="atLeast"/>
          <w:jc w:val="left"/>
        </w:trPr>
        <w:tc>
          <w:tcPr>
            <w:tcW w:w="1872"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365F91"/>
                <w:spacing w:val="0"/>
                <w:position w:val="0"/>
                <w:sz w:val="17"/>
                <w:shd w:fill="auto" w:val="clear"/>
              </w:rPr>
              <w:t xml:space="preserve">Correlation Matrix Heatmap</w:t>
            </w:r>
          </w:p>
        </w:tc>
        <w:tc>
          <w:tcPr>
            <w:tcW w:w="1872"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365F91"/>
                <w:spacing w:val="0"/>
                <w:position w:val="0"/>
                <w:sz w:val="17"/>
                <w:shd w:fill="auto" w:val="clear"/>
              </w:rPr>
              <w:t xml:space="preserve">Multicollinearity screening &amp; feature selection</w:t>
            </w:r>
          </w:p>
        </w:tc>
        <w:tc>
          <w:tcPr>
            <w:tcW w:w="1872"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365F91"/>
                <w:spacing w:val="0"/>
                <w:position w:val="0"/>
                <w:sz w:val="17"/>
                <w:shd w:fill="auto" w:val="clear"/>
              </w:rPr>
              <w:t xml:space="preserve">Matrix of 4+ Continuous features</w:t>
            </w:r>
          </w:p>
        </w:tc>
        <w:tc>
          <w:tcPr>
            <w:tcW w:w="1872"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365F91"/>
                <w:spacing w:val="0"/>
                <w:position w:val="0"/>
                <w:sz w:val="17"/>
                <w:shd w:fill="auto" w:val="clear"/>
              </w:rPr>
              <w:t xml:space="preserve">Flag moderate correlation at |r| &gt;= 0.40, strong at |r| &gt;= 0.70, and collinear redundancy at |r| &gt;= 0.85.</w:t>
            </w:r>
          </w:p>
        </w:tc>
        <w:tc>
          <w:tcPr>
            <w:tcW w:w="1872"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365F91"/>
                <w:spacing w:val="0"/>
                <w:position w:val="0"/>
                <w:sz w:val="17"/>
                <w:shd w:fill="auto" w:val="clear"/>
              </w:rPr>
              <w:t xml:space="preserve">Non-diverging palettes; omitting numeric cell annotations.</w:t>
            </w:r>
          </w:p>
        </w:tc>
      </w:tr>
      <w:tr>
        <w:trPr>
          <w:trHeight w:val="1" w:hRule="atLeast"/>
          <w:jc w:val="left"/>
        </w:trPr>
        <w:tc>
          <w:tcPr>
            <w:tcW w:w="1872"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365F91"/>
                <w:spacing w:val="0"/>
                <w:position w:val="0"/>
                <w:sz w:val="17"/>
                <w:shd w:fill="auto" w:val="clear"/>
              </w:rPr>
              <w:t xml:space="preserve">Scatter Plot with OLS Fit</w:t>
            </w:r>
          </w:p>
        </w:tc>
        <w:tc>
          <w:tcPr>
            <w:tcW w:w="1872"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365F91"/>
                <w:spacing w:val="0"/>
                <w:position w:val="0"/>
                <w:sz w:val="17"/>
                <w:shd w:fill="auto" w:val="clear"/>
              </w:rPr>
              <w:t xml:space="preserve">Bivariate trend and regression dependency</w:t>
            </w:r>
          </w:p>
        </w:tc>
        <w:tc>
          <w:tcPr>
            <w:tcW w:w="1872"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365F91"/>
                <w:spacing w:val="0"/>
                <w:position w:val="0"/>
                <w:sz w:val="17"/>
                <w:shd w:fill="auto" w:val="clear"/>
              </w:rPr>
              <w:t xml:space="preserve">2 Continuous variables</w:t>
            </w:r>
          </w:p>
        </w:tc>
        <w:tc>
          <w:tcPr>
            <w:tcW w:w="1872"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365F91"/>
                <w:spacing w:val="0"/>
                <w:position w:val="0"/>
                <w:sz w:val="17"/>
                <w:shd w:fill="auto" w:val="clear"/>
              </w:rPr>
              <w:t xml:space="preserve">Evaluate R² &gt;= 0.60 with p &lt; 0.05. Use alpha transparency (0.3</w:t>
            </w:r>
            <w:r>
              <w:rPr>
                <w:rFonts w:ascii="Cambria" w:hAnsi="Cambria" w:cs="Cambria" w:eastAsia="Cambria"/>
                <w:color w:val="365F91"/>
                <w:spacing w:val="0"/>
                <w:position w:val="0"/>
                <w:sz w:val="17"/>
                <w:shd w:fill="auto" w:val="clear"/>
              </w:rPr>
              <w:t xml:space="preserve">–</w:t>
            </w:r>
            <w:r>
              <w:rPr>
                <w:rFonts w:ascii="Cambria" w:hAnsi="Cambria" w:cs="Cambria" w:eastAsia="Cambria"/>
                <w:color w:val="365F91"/>
                <w:spacing w:val="0"/>
                <w:position w:val="0"/>
                <w:sz w:val="17"/>
                <w:shd w:fill="auto" w:val="clear"/>
              </w:rPr>
              <w:t xml:space="preserve">0.5) to reveal point density.</w:t>
            </w:r>
          </w:p>
        </w:tc>
        <w:tc>
          <w:tcPr>
            <w:tcW w:w="1872" w:type="dxa"/>
            <w:tcBorders>
              <w:top w:val="single" w:color="4f81bd" w:sz="8"/>
              <w:left w:val="single" w:color="000000" w:sz="0"/>
              <w:bottom w:val="single" w:color="4f81bd" w:sz="8"/>
              <w:right w:val="single" w:color="000000" w:sz="0"/>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Cambria" w:hAnsi="Cambria" w:cs="Cambria" w:eastAsia="Cambria"/>
                <w:color w:val="365F91"/>
                <w:spacing w:val="0"/>
                <w:position w:val="0"/>
                <w:sz w:val="17"/>
                <w:shd w:fill="auto" w:val="clear"/>
              </w:rPr>
              <w:t xml:space="preserve">Fitting linear regressions to nonlinear or overplotted clusters.</w:t>
            </w:r>
          </w:p>
        </w:tc>
      </w:tr>
    </w:tbl>
    <w:p>
      <w:pPr>
        <w:spacing w:before="0" w:after="240" w:line="276"/>
        <w:ind w:right="0" w:left="0" w:firstLine="0"/>
        <w:jc w:val="left"/>
        <w:rPr>
          <w:rFonts w:ascii="Cambria" w:hAnsi="Cambria" w:cs="Cambria" w:eastAsia="Cambria"/>
          <w:color w:val="auto"/>
          <w:spacing w:val="0"/>
          <w:position w:val="0"/>
          <w:sz w:val="22"/>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1F4E79"/>
          <w:spacing w:val="0"/>
          <w:position w:val="0"/>
          <w:sz w:val="32"/>
          <w:shd w:fill="auto" w:val="clear"/>
        </w:rPr>
        <w:t xml:space="preserve">3. Python Visualization Stack Rationale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Matplotlib: Low-level procedural canvas engine. Chosen for subplots, layout composition, and publication-ready static exports (300+ DPI vector outputs for formal PDF dossiers).</w:t>
        <w:br/>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Seaborn: Declarative statistical abstraction. Utilized for rapid multivariate analysis, automatic aggregation, and default 95% confidence interval estimation bands.</w:t>
        <w:br/>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Plotly: Interactive WebGL/D3.js visualization engine. Deployed for web-based stakeholder dashboards requiring client-side zooming, dynamic slicing, and hover tooltips.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1F4E79"/>
          <w:spacing w:val="0"/>
          <w:position w:val="0"/>
          <w:sz w:val="32"/>
          <w:shd w:fill="auto" w:val="clear"/>
        </w:rPr>
        <w:t xml:space="preserve">4. Statistical Interpretation Governance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1. Skewness vs. Central Tendency: For financial distributions where the Mean exceeds the Median by &gt; 15%, distributions are positively skewed. Reporting must default to Median and Interquartile Range (IQR) to avoid skew bias from high-leverage outliers.</w:t>
        <w:br/>
        <w:t xml:space="preserve">2. Correlation vs. Causation Controls: Any pair exhibiting |r| &gt;= 0.70 triggers an automatic scatter verification step to confirm the correlation is not artificially inflated by isolated high-leverage records (Cook's Distance &gt; 4/n).</w:t>
        <w:br/>
        <w:t xml:space="preserve">3. Structural Trend Criteria: In performance tracking, an operational metric must sustain a drop across three consecutive reporting cycles before escalating it as a structural failure rather than standard operational variance.</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1F4E79"/>
          <w:spacing w:val="0"/>
          <w:position w:val="0"/>
          <w:sz w:val="32"/>
          <w:shd w:fill="auto" w:val="clear"/>
        </w:rPr>
        <w:t xml:space="preserve">5. Case Study: E-Commerce Churn Attribution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Context: A mid-sized digital retail platform experienced a quarterly churn increase from 3.5% to 7.8%. Visual diagnostics were deployed to isolate drivers.</w:t>
        <w:br/>
        <w:br/>
        <w:t xml:space="preserve">Findings:</w:t>
        <w:br/>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SLA Threshold: Support ticket resolution time plotted against churn probability demonstrated an inflection point at the 48-hour SLA mark (R</w:t>
      </w:r>
      <w:r>
        <w:rPr>
          <w:rFonts w:ascii="Cambria" w:hAnsi="Cambria" w:cs="Cambria" w:eastAsia="Cambria"/>
          <w:color w:val="auto"/>
          <w:spacing w:val="0"/>
          <w:position w:val="0"/>
          <w:sz w:val="22"/>
          <w:shd w:fill="auto" w:val="clear"/>
        </w:rPr>
        <w:t xml:space="preserve">² = 0.68, p &lt; 0.001). Accounts resolved under 24 hours exhibited 4.1% churn, while those breaching 48 hours escalated to 26.5%.</w:t>
        <w:br/>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Purchase Frequency: Retained customers maintained a median order volume of 5 orders/month (IQR = [3, 8]), whereas churned users showed a median of 1 order/month (IQR = [1, 2]).</w:t>
        <w:br/>
        <w:br/>
        <w:t xml:space="preserve">Actionable Remediation:</w:t>
        <w:br/>
        <w:t xml:space="preserve">1. Implement proactive automated alerts at the 36-hour mark to safeguard the 48-hour SLA boundary.</w:t>
        <w:br/>
        <w:t xml:space="preserve">2. Trigger automated loyalty incentives if new account ordering velocity drops below 2 orders within their initial 30 days.</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