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42D55"/>
          <w:sz w:val="40"/>
        </w:rPr>
        <w:t>Week 2 Task Report: Data Collection, Cleaning, and Preprocessing for Logistics Analysis</w:t>
      </w:r>
    </w:p>
    <w:p>
      <w:pPr>
        <w:spacing w:after="280"/>
      </w:pPr>
      <w:r>
        <w:rPr>
          <w:rFonts w:ascii="Calibri" w:hAnsi="Calibri"/>
          <w:i/>
          <w:color w:val="646464"/>
          <w:sz w:val="22"/>
        </w:rPr>
        <w:t>Logistics Data Analyst Internship | Technical Submission Document</w:t>
      </w:r>
    </w:p>
    <w:p>
      <w:pPr>
        <w:spacing w:before="240" w:after="80"/>
      </w:pPr>
      <w:r>
        <w:rPr>
          <w:rFonts w:ascii="Calibri" w:hAnsi="Calibri"/>
          <w:b/>
          <w:color w:val="1A365D"/>
          <w:sz w:val="32"/>
        </w:rPr>
        <w:t>1. Executive Summary &amp; Objective</w:t>
      </w:r>
    </w:p>
    <w:p>
      <w:pPr>
        <w:spacing w:after="160"/>
      </w:pPr>
      <w:r>
        <w:t>Data preprocessing is an essential first phase in supply chain and logistics analytics. In live operational environments, freight telemetry, warehouse ERPs, and courier transit logs often record incomplete attributes, human data-entry mistakes, and sensor disconnections. This report documents an end-to-end data preparation workflow implemented in Python. The objective is to take raw, messy logistics tracking records, diagnose anomalies, treat missing values, handle statistical outliers, and normalize key variables for downstream predictive analytics and routing models.</w:t>
      </w:r>
    </w:p>
    <w:p>
      <w:pPr>
        <w:spacing w:before="240" w:after="80"/>
      </w:pPr>
      <w:r>
        <w:rPr>
          <w:rFonts w:ascii="Calibri" w:hAnsi="Calibri"/>
          <w:b/>
          <w:color w:val="1A365D"/>
          <w:sz w:val="32"/>
        </w:rPr>
        <w:t>2. Dataset Simulation &amp; Schema</w:t>
      </w:r>
    </w:p>
    <w:p>
      <w:pPr>
        <w:spacing w:after="120"/>
      </w:pPr>
      <w:r>
        <w:t>To accurately simulate real-world logistics challenges, a multi-hub transport dataset was generated covering inter-city freight operations across major regional centers. The simulated schema tracks individual shipments with the following key attributes:</w:t>
      </w:r>
    </w:p>
    <w:tbl>
      <w:tblPr>
        <w:tblW w:type="auto" w:w="0"/>
        <w:jc w:val="center"/>
        <w:tblLook w:firstColumn="1" w:firstRow="1" w:lastColumn="0" w:lastRow="0" w:noHBand="0" w:noVBand="1" w:val="04A0"/>
      </w:tblPr>
      <w:tblGrid>
        <w:gridCol w:w="3120"/>
        <w:gridCol w:w="3120"/>
        <w:gridCol w:w="3120"/>
      </w:tblGrid>
      <w:tr>
        <w:tc>
          <w:tcPr>
            <w:tcW w:type="dxa" w:w="3120"/>
            <w:shd w:fill="1A365D"/>
          </w:tcPr>
          <w:p>
            <w:r>
              <w:rPr>
                <w:rFonts w:ascii="Calibri" w:hAnsi="Calibri"/>
                <w:b/>
                <w:color w:val="FFFFFF"/>
                <w:sz w:val="20"/>
              </w:rPr>
              <w:t>Field Name</w:t>
            </w:r>
          </w:p>
        </w:tc>
        <w:tc>
          <w:tcPr>
            <w:tcW w:type="dxa" w:w="3120"/>
            <w:shd w:fill="1A365D"/>
          </w:tcPr>
          <w:p>
            <w:r>
              <w:rPr>
                <w:rFonts w:ascii="Calibri" w:hAnsi="Calibri"/>
                <w:b/>
                <w:color w:val="FFFFFF"/>
                <w:sz w:val="20"/>
              </w:rPr>
              <w:t>Data Type</w:t>
            </w:r>
          </w:p>
        </w:tc>
        <w:tc>
          <w:tcPr>
            <w:tcW w:type="dxa" w:w="3120"/>
            <w:shd w:fill="1A365D"/>
          </w:tcPr>
          <w:p>
            <w:r>
              <w:rPr>
                <w:rFonts w:ascii="Calibri" w:hAnsi="Calibri"/>
                <w:b/>
                <w:color w:val="FFFFFF"/>
                <w:sz w:val="20"/>
              </w:rPr>
              <w:t>Operational Description</w:t>
            </w:r>
          </w:p>
        </w:tc>
      </w:tr>
      <w:tr>
        <w:tc>
          <w:tcPr>
            <w:tcW w:type="dxa" w:w="3120"/>
          </w:tcPr>
          <w:p>
            <w:r>
              <w:rPr>
                <w:rFonts w:ascii="Calibri" w:hAnsi="Calibri"/>
                <w:sz w:val="19"/>
              </w:rPr>
              <w:t>Shipment_ID</w:t>
            </w:r>
          </w:p>
        </w:tc>
        <w:tc>
          <w:tcPr>
            <w:tcW w:type="dxa" w:w="3120"/>
          </w:tcPr>
          <w:p>
            <w:r>
              <w:rPr>
                <w:rFonts w:ascii="Calibri" w:hAnsi="Calibri"/>
                <w:sz w:val="19"/>
              </w:rPr>
              <w:t>Alphanumeric String</w:t>
            </w:r>
          </w:p>
        </w:tc>
        <w:tc>
          <w:tcPr>
            <w:tcW w:type="dxa" w:w="3120"/>
          </w:tcPr>
          <w:p>
            <w:r>
              <w:rPr>
                <w:rFonts w:ascii="Calibri" w:hAnsi="Calibri"/>
                <w:sz w:val="19"/>
              </w:rPr>
              <w:t>Unique package/freight consignment reference number</w:t>
            </w:r>
          </w:p>
        </w:tc>
      </w:tr>
      <w:tr>
        <w:tc>
          <w:tcPr>
            <w:tcW w:type="dxa" w:w="3120"/>
          </w:tcPr>
          <w:p>
            <w:r>
              <w:rPr>
                <w:rFonts w:ascii="Calibri" w:hAnsi="Calibri"/>
                <w:sz w:val="19"/>
              </w:rPr>
              <w:t>Origin</w:t>
            </w:r>
          </w:p>
        </w:tc>
        <w:tc>
          <w:tcPr>
            <w:tcW w:type="dxa" w:w="3120"/>
          </w:tcPr>
          <w:p>
            <w:r>
              <w:rPr>
                <w:rFonts w:ascii="Calibri" w:hAnsi="Calibri"/>
                <w:sz w:val="19"/>
              </w:rPr>
              <w:t>Categorical / String</w:t>
            </w:r>
          </w:p>
        </w:tc>
        <w:tc>
          <w:tcPr>
            <w:tcW w:type="dxa" w:w="3120"/>
          </w:tcPr>
          <w:p>
            <w:r>
              <w:rPr>
                <w:rFonts w:ascii="Calibri" w:hAnsi="Calibri"/>
                <w:sz w:val="19"/>
              </w:rPr>
              <w:t>Dispatching regional hub or warehouse facility</w:t>
            </w:r>
          </w:p>
        </w:tc>
      </w:tr>
      <w:tr>
        <w:tc>
          <w:tcPr>
            <w:tcW w:type="dxa" w:w="3120"/>
          </w:tcPr>
          <w:p>
            <w:r>
              <w:rPr>
                <w:rFonts w:ascii="Calibri" w:hAnsi="Calibri"/>
                <w:sz w:val="19"/>
              </w:rPr>
              <w:t>Destination</w:t>
            </w:r>
          </w:p>
        </w:tc>
        <w:tc>
          <w:tcPr>
            <w:tcW w:type="dxa" w:w="3120"/>
          </w:tcPr>
          <w:p>
            <w:r>
              <w:rPr>
                <w:rFonts w:ascii="Calibri" w:hAnsi="Calibri"/>
                <w:sz w:val="19"/>
              </w:rPr>
              <w:t>Categorical / String</w:t>
            </w:r>
          </w:p>
        </w:tc>
        <w:tc>
          <w:tcPr>
            <w:tcW w:type="dxa" w:w="3120"/>
          </w:tcPr>
          <w:p>
            <w:r>
              <w:rPr>
                <w:rFonts w:ascii="Calibri" w:hAnsi="Calibri"/>
                <w:sz w:val="19"/>
              </w:rPr>
              <w:t>Target fulfillment hub or destination terminal</w:t>
            </w:r>
          </w:p>
        </w:tc>
      </w:tr>
      <w:tr>
        <w:tc>
          <w:tcPr>
            <w:tcW w:type="dxa" w:w="3120"/>
          </w:tcPr>
          <w:p>
            <w:r>
              <w:rPr>
                <w:rFonts w:ascii="Calibri" w:hAnsi="Calibri"/>
                <w:sz w:val="19"/>
              </w:rPr>
              <w:t>Vehicle_Type</w:t>
            </w:r>
          </w:p>
        </w:tc>
        <w:tc>
          <w:tcPr>
            <w:tcW w:type="dxa" w:w="3120"/>
          </w:tcPr>
          <w:p>
            <w:r>
              <w:rPr>
                <w:rFonts w:ascii="Calibri" w:hAnsi="Calibri"/>
                <w:sz w:val="19"/>
              </w:rPr>
              <w:t>Categorical</w:t>
            </w:r>
          </w:p>
        </w:tc>
        <w:tc>
          <w:tcPr>
            <w:tcW w:type="dxa" w:w="3120"/>
          </w:tcPr>
          <w:p>
            <w:r>
              <w:rPr>
                <w:rFonts w:ascii="Calibri" w:hAnsi="Calibri"/>
                <w:sz w:val="19"/>
              </w:rPr>
              <w:t>Modal category: Truck, Van, or Air Cargo</w:t>
            </w:r>
          </w:p>
        </w:tc>
      </w:tr>
      <w:tr>
        <w:tc>
          <w:tcPr>
            <w:tcW w:type="dxa" w:w="3120"/>
          </w:tcPr>
          <w:p>
            <w:r>
              <w:rPr>
                <w:rFonts w:ascii="Calibri" w:hAnsi="Calibri"/>
                <w:sz w:val="19"/>
              </w:rPr>
              <w:t>Distance_KM</w:t>
            </w:r>
          </w:p>
        </w:tc>
        <w:tc>
          <w:tcPr>
            <w:tcW w:type="dxa" w:w="3120"/>
          </w:tcPr>
          <w:p>
            <w:r>
              <w:rPr>
                <w:rFonts w:ascii="Calibri" w:hAnsi="Calibri"/>
                <w:sz w:val="19"/>
              </w:rPr>
              <w:t>Float</w:t>
            </w:r>
          </w:p>
        </w:tc>
        <w:tc>
          <w:tcPr>
            <w:tcW w:type="dxa" w:w="3120"/>
          </w:tcPr>
          <w:p>
            <w:r>
              <w:rPr>
                <w:rFonts w:ascii="Calibri" w:hAnsi="Calibri"/>
                <w:sz w:val="19"/>
              </w:rPr>
              <w:t>Recorded road/air distance between origin and destination</w:t>
            </w:r>
          </w:p>
        </w:tc>
      </w:tr>
      <w:tr>
        <w:tc>
          <w:tcPr>
            <w:tcW w:type="dxa" w:w="3120"/>
          </w:tcPr>
          <w:p>
            <w:r>
              <w:rPr>
                <w:rFonts w:ascii="Calibri" w:hAnsi="Calibri"/>
                <w:sz w:val="19"/>
              </w:rPr>
              <w:t>Shipping_Cost</w:t>
            </w:r>
          </w:p>
        </w:tc>
        <w:tc>
          <w:tcPr>
            <w:tcW w:type="dxa" w:w="3120"/>
          </w:tcPr>
          <w:p>
            <w:r>
              <w:rPr>
                <w:rFonts w:ascii="Calibri" w:hAnsi="Calibri"/>
                <w:sz w:val="19"/>
              </w:rPr>
              <w:t>Float</w:t>
            </w:r>
          </w:p>
        </w:tc>
        <w:tc>
          <w:tcPr>
            <w:tcW w:type="dxa" w:w="3120"/>
          </w:tcPr>
          <w:p>
            <w:r>
              <w:rPr>
                <w:rFonts w:ascii="Calibri" w:hAnsi="Calibri"/>
                <w:sz w:val="19"/>
              </w:rPr>
              <w:t>Total freight billing fee assessed for delivery</w:t>
            </w:r>
          </w:p>
        </w:tc>
      </w:tr>
      <w:tr>
        <w:tc>
          <w:tcPr>
            <w:tcW w:type="dxa" w:w="3120"/>
          </w:tcPr>
          <w:p>
            <w:r>
              <w:rPr>
                <w:rFonts w:ascii="Calibri" w:hAnsi="Calibri"/>
                <w:sz w:val="19"/>
              </w:rPr>
              <w:t>Transit_Days</w:t>
            </w:r>
          </w:p>
        </w:tc>
        <w:tc>
          <w:tcPr>
            <w:tcW w:type="dxa" w:w="3120"/>
          </w:tcPr>
          <w:p>
            <w:r>
              <w:rPr>
                <w:rFonts w:ascii="Calibri" w:hAnsi="Calibri"/>
                <w:sz w:val="19"/>
              </w:rPr>
              <w:t>Float / Int</w:t>
            </w:r>
          </w:p>
        </w:tc>
        <w:tc>
          <w:tcPr>
            <w:tcW w:type="dxa" w:w="3120"/>
          </w:tcPr>
          <w:p>
            <w:r>
              <w:rPr>
                <w:rFonts w:ascii="Calibri" w:hAnsi="Calibri"/>
                <w:sz w:val="19"/>
              </w:rPr>
              <w:t>Elapsed business days between dispatch and final receipt</w:t>
            </w:r>
          </w:p>
        </w:tc>
      </w:tr>
      <w:tr>
        <w:tc>
          <w:tcPr>
            <w:tcW w:type="dxa" w:w="3120"/>
          </w:tcPr>
          <w:p>
            <w:r>
              <w:rPr>
                <w:rFonts w:ascii="Calibri" w:hAnsi="Calibri"/>
                <w:sz w:val="19"/>
              </w:rPr>
              <w:t>Delivery_Status</w:t>
            </w:r>
          </w:p>
        </w:tc>
        <w:tc>
          <w:tcPr>
            <w:tcW w:type="dxa" w:w="3120"/>
          </w:tcPr>
          <w:p>
            <w:r>
              <w:rPr>
                <w:rFonts w:ascii="Calibri" w:hAnsi="Calibri"/>
                <w:sz w:val="19"/>
              </w:rPr>
              <w:t>Categorical</w:t>
            </w:r>
          </w:p>
        </w:tc>
        <w:tc>
          <w:tcPr>
            <w:tcW w:type="dxa" w:w="3120"/>
          </w:tcPr>
          <w:p>
            <w:r>
              <w:rPr>
                <w:rFonts w:ascii="Calibri" w:hAnsi="Calibri"/>
                <w:sz w:val="19"/>
              </w:rPr>
              <w:t>Operational consignment status (Delivered, In Transit, Delayed, Cancelled)</w:t>
            </w:r>
          </w:p>
        </w:tc>
      </w:tr>
    </w:tbl>
    <w:p>
      <w:pPr>
        <w:spacing w:after="120"/>
      </w:pPr>
    </w:p>
    <w:p>
      <w:pPr>
        <w:spacing w:before="240" w:after="80"/>
      </w:pPr>
      <w:r>
        <w:rPr>
          <w:rFonts w:ascii="Calibri" w:hAnsi="Calibri"/>
          <w:b/>
          <w:color w:val="1A365D"/>
          <w:sz w:val="32"/>
        </w:rPr>
        <w:t>3. Identification of Data Quality Issues</w:t>
      </w:r>
    </w:p>
    <w:p>
      <w:r>
        <w:t>Exploratory profiling of the raw data revealed four distinct categories of data degradation commonly encountered in freight data pipelines:</w:t>
      </w:r>
    </w:p>
    <w:p>
      <w:pPr>
        <w:pStyle w:val="ListBullet"/>
        <w:spacing w:after="60"/>
      </w:pPr>
      <w:r>
        <w:rPr>
          <w:b/>
        </w:rPr>
        <w:t xml:space="preserve">Missing &amp; Null Values: </w:t>
      </w:r>
      <w:r>
        <w:t>Vehicle classifications omitted due to unlinked carrier manifests; unrecorded shipping costs caused by pending invoices; null transit durations on active consignments.</w:t>
      </w:r>
    </w:p>
    <w:p>
      <w:pPr>
        <w:pStyle w:val="ListBullet"/>
        <w:spacing w:after="60"/>
      </w:pPr>
      <w:r>
        <w:rPr>
          <w:b/>
        </w:rPr>
        <w:t xml:space="preserve">Inconsistent String Encodings: </w:t>
      </w:r>
      <w:r>
        <w:t>Arbitrary white spaces and case variations (e.g., ' Truck ', 'truck', 'TRUCK') preventing proper grouping and aggregation.</w:t>
      </w:r>
    </w:p>
    <w:p>
      <w:pPr>
        <w:pStyle w:val="ListBullet"/>
        <w:spacing w:after="60"/>
      </w:pPr>
      <w:r>
        <w:rPr>
          <w:b/>
        </w:rPr>
        <w:t xml:space="preserve">Domain Logic Violations: </w:t>
      </w:r>
      <w:r>
        <w:t>Physical impossibilities such as negative travel distances (-50.0 km) and negative transit durations (-2 days) resulting from desynchronized logging timestamps.</w:t>
      </w:r>
    </w:p>
    <w:p>
      <w:pPr>
        <w:pStyle w:val="ListBullet"/>
        <w:spacing w:after="60"/>
      </w:pPr>
      <w:r>
        <w:rPr>
          <w:b/>
        </w:rPr>
        <w:t xml:space="preserve">Extreme Outliers: </w:t>
      </w:r>
      <w:r>
        <w:t>Anomalously high transit durations (e.g., 45 days on domestic express legs) caused by customs impoundment or clerical keypunch errors.</w:t>
      </w:r>
    </w:p>
    <w:p>
      <w:pPr>
        <w:spacing w:before="240" w:after="80"/>
      </w:pPr>
      <w:r>
        <w:rPr>
          <w:rFonts w:ascii="Calibri" w:hAnsi="Calibri"/>
          <w:b/>
          <w:color w:val="1A365D"/>
          <w:sz w:val="32"/>
        </w:rPr>
        <w:t>4. Cleaning &amp; Preprocessing Methodology</w:t>
      </w:r>
    </w:p>
    <w:p>
      <w:pPr>
        <w:spacing w:before="240" w:after="80"/>
      </w:pPr>
      <w:r>
        <w:rPr>
          <w:rFonts w:ascii="Calibri" w:hAnsi="Calibri"/>
          <w:b/>
          <w:color w:val="2B4C7E"/>
          <w:sz w:val="26"/>
        </w:rPr>
        <w:t>4.1 Text Standardization &amp; Structural Integrity</w:t>
      </w:r>
    </w:p>
    <w:p>
      <w:r>
        <w:t>All categorical fields were stripped of leading/trailing spaces and standardized to title case format. Illogical physical records (such as negative mileage or negative lead times) were isolated and discarded, as zero or negative distances represent invalid logging events.</w:t>
      </w:r>
    </w:p>
    <w:p>
      <w:pPr>
        <w:spacing w:before="240" w:after="80"/>
      </w:pPr>
      <w:r>
        <w:rPr>
          <w:rFonts w:ascii="Calibri" w:hAnsi="Calibri"/>
          <w:b/>
          <w:color w:val="2B4C7E"/>
          <w:sz w:val="26"/>
        </w:rPr>
        <w:t>4.2 Imputation Strategy</w:t>
      </w:r>
    </w:p>
    <w:p>
      <w:r>
        <w:t>Missing values were handled selectively based on distribution shape:</w:t>
        <w:br/>
        <w:t>• Categorical Variables (Vehicle_Type): Imputed using the mode of the available fleet records.</w:t>
        <w:br/>
        <w:t>• Continuous Skewed Variables (Shipping_Cost, Transit_Days): Imputed using the median instead of the mean to prevent distortion from high-cost outliers.</w:t>
      </w:r>
    </w:p>
    <w:p>
      <w:pPr>
        <w:spacing w:before="240" w:after="80"/>
      </w:pPr>
      <w:r>
        <w:rPr>
          <w:rFonts w:ascii="Calibri" w:hAnsi="Calibri"/>
          <w:b/>
          <w:color w:val="2B4C7E"/>
          <w:sz w:val="26"/>
        </w:rPr>
        <w:t>4.3 Outlier Treatment (Interquartile Range Method)</w:t>
      </w:r>
    </w:p>
    <w:p>
      <w:r>
        <w:t>Transit days were evaluated using the Interquartile Range (IQR = Q3 - Q1). Rather than outright deleting extreme delay records (which would misrepresent logistics fulfillment volume), values exceeding the upper fence (Q3 + 1.5 * IQR) were capped at the threshold boundary (Winsorization).</w:t>
      </w:r>
    </w:p>
    <w:p>
      <w:pPr>
        <w:spacing w:before="240" w:after="80"/>
      </w:pPr>
      <w:r>
        <w:rPr>
          <w:rFonts w:ascii="Calibri" w:hAnsi="Calibri"/>
          <w:b/>
          <w:color w:val="2B4C7E"/>
          <w:sz w:val="26"/>
        </w:rPr>
        <w:t>4.4 Feature Normalization (Min-Max Scaling)</w:t>
      </w:r>
    </w:p>
    <w:p>
      <w:r>
        <w:t>To prepare numerical variables with differing unit scales (distance in hundreds of kilometers, cost in thousands) for distance-based clustering or regression algorithms, Min-Max Normalization was applied, rescaling continuous metrics to a uniform [0, 1] range.</w:t>
      </w:r>
    </w:p>
    <w:p>
      <w:pPr>
        <w:spacing w:before="240" w:after="80"/>
      </w:pPr>
      <w:r>
        <w:rPr>
          <w:rFonts w:ascii="Calibri" w:hAnsi="Calibri"/>
          <w:b/>
          <w:color w:val="1A365D"/>
          <w:sz w:val="32"/>
        </w:rPr>
        <w:t>5. Python Implementation Code</w:t>
      </w:r>
    </w:p>
    <w:p>
      <w:r>
        <w:t>The complete reproducible preprocessing script implemented with Pandas, NumPy, and Scikit-Learn:</w:t>
      </w:r>
    </w:p>
    <w:p>
      <w:pPr>
        <w:ind w:left="288" w:right="288"/>
      </w:pPr>
      <w:r>
        <w:rPr>
          <w:rFonts w:ascii="Courier New" w:hAnsi="Courier New"/>
          <w:color w:val="1E1E1E"/>
          <w:sz w:val="17"/>
        </w:rPr>
        <w:t>import pandas as pd</w:t>
        <w:br/>
        <w:t>import numpy as np</w:t>
        <w:br/>
        <w:t>from sklearn.preprocessing import MinMaxScaler</w:t>
        <w:br/>
        <w:br/>
        <w:t># 1. Simulate Raw Logistics Dataset</w:t>
        <w:br/>
        <w:t>np.random.seed(42)</w:t>
        <w:br/>
        <w:t>n_records = 150</w:t>
        <w:br/>
        <w:br/>
        <w:t>raw_data = {</w:t>
        <w:br/>
        <w:t xml:space="preserve">    'Shipment_ID': [f'SHP_{1000+i}' for i in range(n_records)],</w:t>
        <w:br/>
        <w:t xml:space="preserve">    'Origin': np.random.choice(['Delhi', 'Mumbai', 'Bangalore', 'Kolkata'], n_records),</w:t>
        <w:br/>
        <w:t xml:space="preserve">    'Destination': np.random.choice(['Chennai', 'Hyderabad', 'Pune', 'Jaipur'], n_records),</w:t>
        <w:br/>
        <w:t xml:space="preserve">    'Vehicle_Type': np.random.choice(['Truck', 'Van', 'Air', None], n_records, p=[0.5, 0.3, 0.15, 0.05]),</w:t>
        <w:br/>
        <w:t xml:space="preserve">    'Distance_KM': np.random.normal(loc=850, scale=300, size=n_records).round(1),</w:t>
        <w:br/>
        <w:t xml:space="preserve">    'Shipping_Cost': np.random.normal(loc=4200, scale=1200, size=n_records).round(2),</w:t>
        <w:br/>
        <w:t xml:space="preserve">    'Transit_Days': np.random.choice([1, 2, 3, 4, 5, -2, 45, np.nan], n_records, p=[0.3, 0.3, 0.2, 0.1, 0.04, 0.02, 0.02, 0.02]),</w:t>
        <w:br/>
        <w:t xml:space="preserve">    'Delivery_Status': np.random.choice(['Delivered', 'In Transit', 'Delayed', 'delivered '], n_records)</w:t>
        <w:br/>
        <w:t>}</w:t>
        <w:br/>
        <w:br/>
        <w:t>df = pd.DataFrame(raw_data)</w:t>
        <w:br/>
        <w:t># Introduce synthetic errors</w:t>
        <w:br/>
        <w:t>df.loc[10, 'Distance_KM'] = -50.0</w:t>
        <w:br/>
        <w:t>df.loc[25, 'Shipping_Cost'] = np.nan</w:t>
        <w:br/>
        <w:br/>
        <w:t># 2. Standardization &amp; Sanity Filtering</w:t>
        <w:br/>
        <w:t>df['Delivery_Status'] = df['Delivery_Status'].astype(str).str.strip().str.title()</w:t>
        <w:br/>
        <w:t>df['Vehicle_Type'] = df['Vehicle_Type'].fillna('Unknown').str.strip().str.title()</w:t>
        <w:br/>
        <w:t>df = df[df['Distance_KM'] &gt; 0]</w:t>
        <w:br/>
        <w:t>df = df[(df['Transit_Days'].isna()) | (df['Transit_Days'] &gt; 0)]</w:t>
        <w:br/>
        <w:br/>
        <w:t># 3. Missing Value Imputation</w:t>
        <w:br/>
        <w:t>mode_veh = df[df['Vehicle_Type'] != 'Unknown']['Vehicle_Type'].mode()[0]</w:t>
        <w:br/>
        <w:t>df['Vehicle_Type'] = df['Vehicle_Type'].replace('Unknown', mode_veh)</w:t>
        <w:br/>
        <w:t>df['Shipping_Cost'] = df['Shipping_Cost'].fillna(df['Shipping_Cost'].median())</w:t>
        <w:br/>
        <w:t>df['Transit_Days'] = df['Transit_Days'].fillna(df['Transit_Days'].median())</w:t>
        <w:br/>
        <w:br/>
        <w:t># 4. Outlier Handling (IQR Capping)</w:t>
        <w:br/>
        <w:t>q1 = df['Transit_Days'].quantile(0.25)</w:t>
        <w:br/>
        <w:t>q3 = df['Transit_Days'].quantile(0.75)</w:t>
        <w:br/>
        <w:t>iqr = q3 - q1</w:t>
        <w:br/>
        <w:t>upper_fence = q3 + (1.5 * iqr)</w:t>
        <w:br/>
        <w:t>df['Transit_Days_Cleaned'] = np.where(df['Transit_Days'] &gt; upper_fence, upper_fence, df['Transit_Days'])</w:t>
        <w:br/>
        <w:br/>
        <w:t># 5. Feature Scaling</w:t>
        <w:br/>
        <w:t>scaler = MinMaxScaler()</w:t>
        <w:br/>
        <w:t>df[['Distance_Norm', 'Cost_Norm']] = scaler.fit_transform(df[['Distance_KM', 'Shipping_Cost']])</w:t>
        <w:br/>
      </w:r>
    </w:p>
    <w:p>
      <w:pPr>
        <w:spacing w:before="240" w:after="80"/>
      </w:pPr>
      <w:r>
        <w:rPr>
          <w:rFonts w:ascii="Calibri" w:hAnsi="Calibri"/>
          <w:b/>
          <w:color w:val="1A365D"/>
          <w:sz w:val="32"/>
        </w:rPr>
        <w:t>6. Practical Reflection &amp; Analytics Impact</w:t>
      </w:r>
    </w:p>
    <w:p>
      <w:pPr>
        <w:pStyle w:val="ListBullet"/>
        <w:spacing w:after="80"/>
      </w:pPr>
      <w:r>
        <w:rPr>
          <w:b/>
        </w:rPr>
        <w:t xml:space="preserve">Preserving Financial Modeling Accuracy: </w:t>
      </w:r>
      <w:r>
        <w:t>Improperly handling extreme freight charges distorts average lane costs, which can cause pricing models to underquote or overquote shipping contracts.</w:t>
      </w:r>
    </w:p>
    <w:p>
      <w:pPr>
        <w:pStyle w:val="ListBullet"/>
        <w:spacing w:after="80"/>
      </w:pPr>
      <w:r>
        <w:rPr>
          <w:b/>
        </w:rPr>
        <w:t xml:space="preserve">Reliability of Customer ETA Models: </w:t>
      </w:r>
      <w:r>
        <w:t>Allowing negative transit times or corrupted GPS timestamps into machine learning training pipelines degrades delivery time forecasts and leads to SLA penalty risks.</w:t>
      </w:r>
    </w:p>
    <w:p>
      <w:pPr>
        <w:pStyle w:val="ListBullet"/>
        <w:spacing w:after="80"/>
      </w:pPr>
      <w:r>
        <w:rPr>
          <w:b/>
        </w:rPr>
        <w:t xml:space="preserve">Algorithmic Convergence: </w:t>
      </w:r>
      <w:r>
        <w:t>Normalizing multi-scale numerical attributes ensures distance-based metrics in clustering and gradient-based neural networks converge efficiently without distance dominating cost dimensions.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