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F1E26" w14:textId="371DBA16" w:rsidR="00D54D28" w:rsidRPr="00001287" w:rsidRDefault="00001287" w:rsidP="00001287">
      <w:pPr>
        <w:jc w:val="center"/>
        <w:rPr>
          <w:rFonts w:ascii="Times New Roman" w:hAnsi="Times New Roman" w:cs="Times New Roman"/>
          <w:lang w:val="en-US"/>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0EF9C81F" wp14:editId="7C8E1D5E">
                <wp:simplePos x="0" y="0"/>
                <wp:positionH relativeFrom="column">
                  <wp:posOffset>-203760</wp:posOffset>
                </wp:positionH>
                <wp:positionV relativeFrom="paragraph">
                  <wp:posOffset>253441</wp:posOffset>
                </wp:positionV>
                <wp:extent cx="6448567" cy="13648"/>
                <wp:effectExtent l="0" t="0" r="28575" b="24765"/>
                <wp:wrapNone/>
                <wp:docPr id="1934116367" name="Straight Connector 1"/>
                <wp:cNvGraphicFramePr/>
                <a:graphic xmlns:a="http://schemas.openxmlformats.org/drawingml/2006/main">
                  <a:graphicData uri="http://schemas.microsoft.com/office/word/2010/wordprocessingShape">
                    <wps:wsp>
                      <wps:cNvCnPr/>
                      <wps:spPr>
                        <a:xfrm flipV="1">
                          <a:off x="0" y="0"/>
                          <a:ext cx="6448567" cy="1364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CFDF1EE"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6.05pt,19.95pt" to="491.7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" strokecolor="black [3200]" strokeweight=".5pt">
                <v:stroke joinstyle="miter"/>
              </v:line>
            </w:pict>
          </mc:Fallback>
        </mc:AlternateContent>
      </w:r>
      <w:r w:rsidRPr="00001287">
        <w:rPr>
          <w:rFonts w:ascii="Times New Roman" w:hAnsi="Times New Roman" w:cs="Times New Roman"/>
          <w:lang w:val="en-US"/>
        </w:rPr>
        <w:t>System</w:t>
      </w:r>
      <w:r>
        <w:rPr>
          <w:rFonts w:ascii="Times New Roman" w:hAnsi="Times New Roman" w:cs="Times New Roman"/>
          <w:lang w:val="en-US"/>
        </w:rPr>
        <w:t>a</w:t>
      </w:r>
      <w:r w:rsidRPr="00001287">
        <w:rPr>
          <w:rFonts w:ascii="Times New Roman" w:hAnsi="Times New Roman" w:cs="Times New Roman"/>
          <w:lang w:val="en-US"/>
        </w:rPr>
        <w:t xml:space="preserve">tic Literature Review </w:t>
      </w:r>
    </w:p>
    <w:p w14:paraId="5141C7E4" w14:textId="38EB1357" w:rsidR="00001287" w:rsidRDefault="00001287" w:rsidP="00001287">
      <w:pPr>
        <w:jc w:val="center"/>
        <w:rPr>
          <w:rFonts w:ascii="Times New Roman" w:hAnsi="Times New Roman" w:cs="Times New Roman"/>
          <w:sz w:val="28"/>
          <w:szCs w:val="28"/>
          <w:lang w:val="en-US"/>
        </w:rPr>
      </w:pPr>
      <w:r w:rsidRPr="00001287">
        <w:rPr>
          <w:rFonts w:ascii="Times New Roman" w:hAnsi="Times New Roman" w:cs="Times New Roman"/>
          <w:sz w:val="28"/>
          <w:szCs w:val="28"/>
          <w:lang w:val="en-US"/>
        </w:rPr>
        <w:t>Determinants of H</w:t>
      </w:r>
      <w:r>
        <w:rPr>
          <w:rFonts w:ascii="Times New Roman" w:hAnsi="Times New Roman" w:cs="Times New Roman"/>
          <w:sz w:val="28"/>
          <w:szCs w:val="28"/>
          <w:lang w:val="en-US"/>
        </w:rPr>
        <w:t>ealth Outcomes</w:t>
      </w:r>
    </w:p>
    <w:p w14:paraId="51799759" w14:textId="40B00A92" w:rsidR="00001287" w:rsidRDefault="00001287">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3C9269B1" w14:textId="3C83DF35" w:rsidR="00001287" w:rsidRDefault="005D0025" w:rsidP="00C94ADB">
      <w:pPr>
        <w:jc w:val="both"/>
        <w:rPr>
          <w:rFonts w:ascii="Times New Roman" w:hAnsi="Times New Roman" w:cs="Times New Roman"/>
          <w:b/>
          <w:bCs/>
          <w:lang w:val="en-US"/>
        </w:rPr>
      </w:pPr>
      <w:r>
        <w:rPr>
          <w:rFonts w:ascii="Times New Roman" w:hAnsi="Times New Roman" w:cs="Times New Roman"/>
          <w:b/>
          <w:bCs/>
          <w:lang w:val="en-US"/>
        </w:rPr>
        <w:lastRenderedPageBreak/>
        <w:t>Summary</w:t>
      </w:r>
    </w:p>
    <w:p w14:paraId="02B71583" w14:textId="23842950" w:rsidR="00001287" w:rsidRDefault="00001287" w:rsidP="00903EA3">
      <w:pPr>
        <w:spacing w:line="276" w:lineRule="auto"/>
        <w:jc w:val="both"/>
        <w:rPr>
          <w:rFonts w:ascii="Times New Roman" w:hAnsi="Times New Roman" w:cs="Times New Roman"/>
          <w:lang w:val="en-US"/>
        </w:rPr>
      </w:pPr>
      <w:r>
        <w:rPr>
          <w:rFonts w:ascii="Times New Roman" w:hAnsi="Times New Roman" w:cs="Times New Roman"/>
          <w:lang w:val="en-US"/>
        </w:rPr>
        <w:t xml:space="preserve">Over the last decades, a growing amount of research suggests that medical care is not the sole determinant of health outcomes. Rather, social determinants of health (SDH) play a large role in shaping health outcomes </w:t>
      </w:r>
      <w:r>
        <w:rPr>
          <w:rFonts w:ascii="Times New Roman" w:hAnsi="Times New Roman" w:cs="Times New Roman"/>
          <w:lang w:val="en-US"/>
        </w:rPr>
        <w:fldChar w:fldCharType="begin"/>
      </w:r>
      <w:r>
        <w:rPr>
          <w:rFonts w:ascii="Times New Roman" w:hAnsi="Times New Roman" w:cs="Times New Roman"/>
          <w:lang w:val="en-US"/>
        </w:rPr>
        <w:instrText xml:space="preserve"> ADDIN EN.CITE &lt;EndNote&gt;&lt;Cite&gt;&lt;Author&gt;Braveman&lt;/Author&gt;&lt;Year&gt;2014&lt;/Year&gt;&lt;RecNum&gt;123&lt;/RecNum&gt;&lt;DisplayText&gt;(Braveman &amp;amp; Gottlieb, 2014)&lt;/DisplayText&gt;&lt;record&gt;&lt;rec-number&gt;123&lt;/rec-number&gt;&lt;foreign-keys&gt;&lt;key app="EN" db-id="0fa5efddnp05teeps525ewxdrtpvfdat9zwt" timestamp="1744036163"&gt;123&lt;/key&gt;&lt;/foreign-keys&gt;&lt;ref-type name="Journal Article"&gt;17&lt;/ref-type&gt;&lt;contributors&gt;&lt;authors&gt;&lt;author&gt;Braveman, P.&lt;/author&gt;&lt;author&gt;Gottlieb, L.&lt;/author&gt;&lt;/authors&gt;&lt;/contributors&gt;&lt;auth-address&gt;University of California, San Francisco, School of Medicine, Department of Family and Community Medicine, Center on Social Disparities in Health, San Francisco, CA.&amp;#xD;University of California, San Francisco, School of Medicine, Department of Family and Community Medicine, Center for Health and Community, San Francisco, CA.&lt;/auth-address&gt;&lt;titles&gt;&lt;title&gt;The social determinants of health: it&amp;apos;s time to consider the causes of the causes&lt;/title&gt;&lt;secondary-title&gt;Public Health Rep&lt;/secondary-title&gt;&lt;/titles&gt;&lt;periodical&gt;&lt;full-title&gt;Public Health Rep&lt;/full-title&gt;&lt;/periodical&gt;&lt;pages&gt;19-31&lt;/pages&gt;&lt;volume&gt;129 Suppl 2&lt;/volume&gt;&lt;number&gt;Suppl 2&lt;/number&gt;&lt;keywords&gt;&lt;keyword&gt;Delivery of Health Care&lt;/keyword&gt;&lt;keyword&gt;Epigenesis, Genetic&lt;/keyword&gt;&lt;keyword&gt;Health Status&lt;/keyword&gt;&lt;keyword&gt;Humans&lt;/keyword&gt;&lt;keyword&gt;*Social Determinants of Health&lt;/keyword&gt;&lt;keyword&gt;Socioeconomic Factors&lt;/keyword&gt;&lt;keyword&gt;United States&lt;/keyword&gt;&lt;keyword&gt;Vulnerable Populations&lt;/keyword&gt;&lt;/keywords&gt;&lt;dates&gt;&lt;year&gt;2014&lt;/year&gt;&lt;pub-dates&gt;&lt;date&gt;Jan-Feb&lt;/date&gt;&lt;/pub-dates&gt;&lt;/dates&gt;&lt;isbn&gt;0033-3549 (Print)&amp;#xD;0033-3549&lt;/isbn&gt;&lt;accession-num&gt;24385661&lt;/accession-num&gt;&lt;urls&gt;&lt;/urls&gt;&lt;custom2&gt;PMC3863696&lt;/custom2&gt;&lt;electronic-resource-num&gt;10.1177/00333549141291s206&lt;/electronic-resource-num&gt;&lt;remote-database-provider&gt;NLM&lt;/remote-database-provider&gt;&lt;language&gt;eng&lt;/language&gt;&lt;/record&gt;&lt;/Cite&gt;&lt;/EndNote&gt;</w:instrText>
      </w:r>
      <w:r>
        <w:rPr>
          <w:rFonts w:ascii="Times New Roman" w:hAnsi="Times New Roman" w:cs="Times New Roman"/>
          <w:lang w:val="en-US"/>
        </w:rPr>
        <w:fldChar w:fldCharType="separate"/>
      </w:r>
      <w:r>
        <w:rPr>
          <w:rFonts w:ascii="Times New Roman" w:hAnsi="Times New Roman" w:cs="Times New Roman"/>
          <w:noProof/>
          <w:lang w:val="en-US"/>
        </w:rPr>
        <w:t>(Braveman &amp; Gottlieb, 2014)</w:t>
      </w:r>
      <w:r>
        <w:rPr>
          <w:rFonts w:ascii="Times New Roman" w:hAnsi="Times New Roman" w:cs="Times New Roman"/>
          <w:lang w:val="en-US"/>
        </w:rPr>
        <w:fldChar w:fldCharType="end"/>
      </w:r>
      <w:r w:rsidR="00C94ADB">
        <w:rPr>
          <w:rFonts w:ascii="Times New Roman" w:hAnsi="Times New Roman" w:cs="Times New Roman"/>
          <w:lang w:val="en-US"/>
        </w:rPr>
        <w:t>.  The definition for social determinants of health is given by the WHO commission on the Social Determinants of Health: “The conditions in which people are born, grow, live, work, and age, and the fundamental drivers of these conditions”</w:t>
      </w:r>
      <w:r w:rsidR="00A77CC5">
        <w:rPr>
          <w:rFonts w:ascii="Times New Roman" w:hAnsi="Times New Roman" w:cs="Times New Roman"/>
          <w:lang w:val="en-US"/>
        </w:rPr>
        <w:t xml:space="preserve"> </w:t>
      </w:r>
      <w:r w:rsidR="00A77CC5">
        <w:rPr>
          <w:rFonts w:ascii="Times New Roman" w:hAnsi="Times New Roman" w:cs="Times New Roman"/>
          <w:lang w:val="en-US"/>
        </w:rPr>
        <w:fldChar w:fldCharType="begin"/>
      </w:r>
      <w:r w:rsidR="00A77CC5">
        <w:rPr>
          <w:rFonts w:ascii="Times New Roman" w:hAnsi="Times New Roman" w:cs="Times New Roman"/>
          <w:lang w:val="en-US"/>
        </w:rPr>
        <w:instrText xml:space="preserve"> ADDIN EN.CITE &lt;EndNote&gt;&lt;Cite&gt;&lt;Author&gt;Marmot&lt;/Author&gt;&lt;Year&gt;2008&lt;/Year&gt;&lt;RecNum&gt;124&lt;/RecNum&gt;&lt;DisplayText&gt;(Marmot et al., 2008)&lt;/DisplayText&gt;&lt;record&gt;&lt;rec-number&gt;124&lt;/rec-number&gt;&lt;foreign-keys&gt;&lt;key app="EN" db-id="0fa5efddnp05teeps525ewxdrtpvfdat9zwt" timestamp="1744036741"&gt;124&lt;/key&gt;&lt;/foreign-keys&gt;&lt;ref-type name="Journal Article"&gt;17&lt;/ref-type&gt;&lt;contributors&gt;&lt;authors&gt;&lt;author&gt;Marmot, Michael&lt;/author&gt;&lt;author&gt;Friel, Sharon&lt;/author&gt;&lt;author&gt;Bell, Ruth&lt;/author&gt;&lt;author&gt;Houweling, Tanja AJ&lt;/author&gt;&lt;author&gt;Taylor, Sebastian&lt;/author&gt;&lt;/authors&gt;&lt;/contributors&gt;&lt;titles&gt;&lt;title&gt;Closing the gap in a generation: health equity through action on the social determinants of health&lt;/title&gt;&lt;secondary-title&gt;The lancet&lt;/secondary-title&gt;&lt;/titles&gt;&lt;periodical&gt;&lt;full-title&gt;The lancet&lt;/full-title&gt;&lt;/periodical&gt;&lt;pages&gt;1661-1669&lt;/pages&gt;&lt;volume&gt;372&lt;/volume&gt;&lt;number&gt;9650&lt;/number&gt;&lt;dates&gt;&lt;year&gt;2008&lt;/year&gt;&lt;/dates&gt;&lt;isbn&gt;0140-6736&lt;/isbn&gt;&lt;urls&gt;&lt;/urls&gt;&lt;/record&gt;&lt;/Cite&gt;&lt;/EndNote&gt;</w:instrText>
      </w:r>
      <w:r w:rsidR="00A77CC5">
        <w:rPr>
          <w:rFonts w:ascii="Times New Roman" w:hAnsi="Times New Roman" w:cs="Times New Roman"/>
          <w:lang w:val="en-US"/>
        </w:rPr>
        <w:fldChar w:fldCharType="separate"/>
      </w:r>
      <w:r w:rsidR="00A77CC5">
        <w:rPr>
          <w:rFonts w:ascii="Times New Roman" w:hAnsi="Times New Roman" w:cs="Times New Roman"/>
          <w:noProof/>
          <w:lang w:val="en-US"/>
        </w:rPr>
        <w:t>(Marmot et al., 2008)</w:t>
      </w:r>
      <w:r w:rsidR="00A77CC5">
        <w:rPr>
          <w:rFonts w:ascii="Times New Roman" w:hAnsi="Times New Roman" w:cs="Times New Roman"/>
          <w:lang w:val="en-US"/>
        </w:rPr>
        <w:fldChar w:fldCharType="end"/>
      </w:r>
      <w:r w:rsidR="00A77CC5">
        <w:rPr>
          <w:rFonts w:ascii="Times New Roman" w:hAnsi="Times New Roman" w:cs="Times New Roman"/>
          <w:lang w:val="en-US"/>
        </w:rPr>
        <w:t xml:space="preserve">. </w:t>
      </w:r>
      <w:r w:rsidR="007C02CD">
        <w:rPr>
          <w:rFonts w:ascii="Times New Roman" w:hAnsi="Times New Roman" w:cs="Times New Roman"/>
          <w:lang w:val="en-US"/>
        </w:rPr>
        <w:t>In the 21</w:t>
      </w:r>
      <w:r w:rsidR="007C02CD" w:rsidRPr="007C02CD">
        <w:rPr>
          <w:rFonts w:ascii="Times New Roman" w:hAnsi="Times New Roman" w:cs="Times New Roman"/>
          <w:vertAlign w:val="superscript"/>
          <w:lang w:val="en-US"/>
        </w:rPr>
        <w:t>st</w:t>
      </w:r>
      <w:r w:rsidR="007C02CD">
        <w:rPr>
          <w:rFonts w:ascii="Times New Roman" w:hAnsi="Times New Roman" w:cs="Times New Roman"/>
          <w:lang w:val="en-US"/>
        </w:rPr>
        <w:t xml:space="preserve"> century, most scholars agree that social determinants of health are of upmost importance for health outcomes. However, there is less agreement on how much different social determinants influence health outcomes, and how policymakers should adapt to different health-promoting or health-damaging pathways </w:t>
      </w:r>
      <w:r w:rsidR="007C02CD">
        <w:rPr>
          <w:rFonts w:ascii="Times New Roman" w:hAnsi="Times New Roman" w:cs="Times New Roman"/>
          <w:lang w:val="en-US"/>
        </w:rPr>
        <w:fldChar w:fldCharType="begin"/>
      </w:r>
      <w:r w:rsidR="007C02CD">
        <w:rPr>
          <w:rFonts w:ascii="Times New Roman" w:hAnsi="Times New Roman" w:cs="Times New Roman"/>
          <w:lang w:val="en-US"/>
        </w:rPr>
        <w:instrText xml:space="preserve"> ADDIN EN.CITE &lt;EndNote&gt;&lt;Cite&gt;&lt;Author&gt;Braveman&lt;/Author&gt;&lt;Year&gt;2011&lt;/Year&gt;&lt;RecNum&gt;125&lt;/RecNum&gt;&lt;DisplayText&gt;(Braveman et al., 2011)&lt;/DisplayText&gt;&lt;record&gt;&lt;rec-number&gt;125&lt;/rec-number&gt;&lt;foreign-keys&gt;&lt;key app="EN" db-id="0fa5efddnp05teeps525ewxdrtpvfdat9zwt" timestamp="1744038012"&gt;125&lt;/key&gt;&lt;/foreign-keys&gt;&lt;ref-type name="Journal Article"&gt;17&lt;/ref-type&gt;&lt;contributors&gt;&lt;authors&gt;&lt;author&gt;Braveman, Paula&lt;/author&gt;&lt;author&gt;Egerter, Susan&lt;/author&gt;&lt;author&gt;Williams, David R&lt;/author&gt;&lt;/authors&gt;&lt;/contributors&gt;&lt;titles&gt;&lt;title&gt;The social determinants of health: coming of age&lt;/title&gt;&lt;secondary-title&gt;Annual review of public health&lt;/secondary-title&gt;&lt;/titles&gt;&lt;periodical&gt;&lt;full-title&gt;Annual review of public health&lt;/full-title&gt;&lt;/periodical&gt;&lt;pages&gt;381-398&lt;/pages&gt;&lt;volume&gt;32&lt;/volume&gt;&lt;number&gt;1&lt;/number&gt;&lt;dates&gt;&lt;year&gt;2011&lt;/year&gt;&lt;/dates&gt;&lt;isbn&gt;0163-7525&lt;/isbn&gt;&lt;urls&gt;&lt;/urls&gt;&lt;/record&gt;&lt;/Cite&gt;&lt;/EndNote&gt;</w:instrText>
      </w:r>
      <w:r w:rsidR="007C02CD">
        <w:rPr>
          <w:rFonts w:ascii="Times New Roman" w:hAnsi="Times New Roman" w:cs="Times New Roman"/>
          <w:lang w:val="en-US"/>
        </w:rPr>
        <w:fldChar w:fldCharType="separate"/>
      </w:r>
      <w:r w:rsidR="007C02CD">
        <w:rPr>
          <w:rFonts w:ascii="Times New Roman" w:hAnsi="Times New Roman" w:cs="Times New Roman"/>
          <w:noProof/>
          <w:lang w:val="en-US"/>
        </w:rPr>
        <w:t>(Braveman et al., 2011)</w:t>
      </w:r>
      <w:r w:rsidR="007C02CD">
        <w:rPr>
          <w:rFonts w:ascii="Times New Roman" w:hAnsi="Times New Roman" w:cs="Times New Roman"/>
          <w:lang w:val="en-US"/>
        </w:rPr>
        <w:fldChar w:fldCharType="end"/>
      </w:r>
      <w:r w:rsidR="007C02CD">
        <w:rPr>
          <w:rFonts w:ascii="Times New Roman" w:hAnsi="Times New Roman" w:cs="Times New Roman"/>
          <w:lang w:val="en-US"/>
        </w:rPr>
        <w:t xml:space="preserve">. </w:t>
      </w:r>
      <w:r w:rsidR="005D0025">
        <w:rPr>
          <w:rFonts w:ascii="Times New Roman" w:hAnsi="Times New Roman" w:cs="Times New Roman"/>
        </w:rPr>
        <w:tab/>
      </w:r>
      <w:r w:rsidR="005D0025">
        <w:rPr>
          <w:rFonts w:ascii="Times New Roman" w:hAnsi="Times New Roman" w:cs="Times New Roman"/>
        </w:rPr>
        <w:tab/>
      </w:r>
      <w:r w:rsidR="005D0025">
        <w:rPr>
          <w:rFonts w:ascii="Times New Roman" w:hAnsi="Times New Roman" w:cs="Times New Roman"/>
        </w:rPr>
        <w:tab/>
      </w:r>
      <w:r w:rsidR="005D0025">
        <w:rPr>
          <w:rFonts w:ascii="Times New Roman" w:hAnsi="Times New Roman" w:cs="Times New Roman"/>
        </w:rPr>
        <w:tab/>
      </w:r>
      <w:r w:rsidR="005D0025">
        <w:rPr>
          <w:rFonts w:ascii="Times New Roman" w:hAnsi="Times New Roman" w:cs="Times New Roman"/>
        </w:rPr>
        <w:tab/>
      </w:r>
      <w:r w:rsidR="005D0025">
        <w:rPr>
          <w:rFonts w:ascii="Times New Roman" w:hAnsi="Times New Roman" w:cs="Times New Roman"/>
        </w:rPr>
        <w:tab/>
      </w:r>
      <w:r w:rsidR="005D0025">
        <w:rPr>
          <w:rFonts w:ascii="Times New Roman" w:hAnsi="Times New Roman" w:cs="Times New Roman"/>
        </w:rPr>
        <w:tab/>
      </w:r>
      <w:r w:rsidR="005D0025">
        <w:rPr>
          <w:rFonts w:ascii="Times New Roman" w:hAnsi="Times New Roman" w:cs="Times New Roman"/>
        </w:rPr>
        <w:tab/>
      </w:r>
      <w:r w:rsidR="002B7FC0" w:rsidRPr="002B7FC0">
        <w:rPr>
          <w:rFonts w:ascii="Times New Roman" w:hAnsi="Times New Roman" w:cs="Times New Roman"/>
          <w:lang w:val="en-US"/>
        </w:rPr>
        <w:t>`</w:t>
      </w:r>
      <w:r w:rsidR="002B7FC0" w:rsidRPr="002B7FC0">
        <w:rPr>
          <w:rFonts w:ascii="Times New Roman" w:hAnsi="Times New Roman" w:cs="Times New Roman"/>
          <w:lang w:val="en-US"/>
        </w:rPr>
        <w:tab/>
      </w:r>
      <w:r w:rsidR="005D0025" w:rsidRPr="005D0025">
        <w:rPr>
          <w:rFonts w:ascii="Times New Roman" w:hAnsi="Times New Roman" w:cs="Times New Roman"/>
          <w:lang w:val="en-US"/>
        </w:rPr>
        <w:t>The overall conclusion of the research is that people w</w:t>
      </w:r>
      <w:r w:rsidR="005D0025">
        <w:rPr>
          <w:rFonts w:ascii="Times New Roman" w:hAnsi="Times New Roman" w:cs="Times New Roman"/>
          <w:lang w:val="en-US"/>
        </w:rPr>
        <w:t xml:space="preserve">ho are less advantaged in terms  of socioeconomic position, have worse health and shorter lives compared to people with a better socioeconomic position. This phenomenon is referred to as the social gradient </w:t>
      </w:r>
      <w:r w:rsidR="008151BB">
        <w:rPr>
          <w:rFonts w:ascii="Times New Roman" w:hAnsi="Times New Roman" w:cs="Times New Roman"/>
          <w:lang w:val="en-US"/>
        </w:rPr>
        <w:t xml:space="preserve">of health. This concept was made famous by </w:t>
      </w:r>
      <w:r w:rsidR="00EC453E">
        <w:rPr>
          <w:rFonts w:ascii="Times New Roman" w:hAnsi="Times New Roman" w:cs="Times New Roman"/>
          <w:lang w:val="en-US"/>
        </w:rPr>
        <w:t xml:space="preserve">the </w:t>
      </w:r>
      <w:r w:rsidR="00EC453E" w:rsidRPr="00EC453E">
        <w:rPr>
          <w:rFonts w:ascii="Times New Roman" w:hAnsi="Times New Roman" w:cs="Times New Roman"/>
          <w:lang w:val="en-US"/>
        </w:rPr>
        <w:t>“Whitehall studies</w:t>
      </w:r>
      <w:r w:rsidR="00EC453E">
        <w:rPr>
          <w:rFonts w:ascii="Times New Roman" w:hAnsi="Times New Roman" w:cs="Times New Roman"/>
          <w:lang w:val="en-US"/>
        </w:rPr>
        <w:t xml:space="preserve"> of British civil servants</w:t>
      </w:r>
      <w:r w:rsidR="00EC453E" w:rsidRPr="00EC453E">
        <w:rPr>
          <w:rFonts w:ascii="Times New Roman" w:hAnsi="Times New Roman" w:cs="Times New Roman"/>
          <w:lang w:val="en-US"/>
        </w:rPr>
        <w:t>” i</w:t>
      </w:r>
      <w:r w:rsidR="00EC453E">
        <w:rPr>
          <w:rFonts w:ascii="Times New Roman" w:hAnsi="Times New Roman" w:cs="Times New Roman"/>
          <w:lang w:val="en-US"/>
        </w:rPr>
        <w:t xml:space="preserve">n the United Kingdom, which found that people in lower employment grades had higher rates of mortality and morbidity through various illnesses, even though all participants had access to the same healthcare system </w:t>
      </w:r>
      <w:r w:rsidR="00EC453E">
        <w:rPr>
          <w:rFonts w:ascii="Times New Roman" w:hAnsi="Times New Roman" w:cs="Times New Roman"/>
          <w:lang w:val="en-US"/>
        </w:rPr>
        <w:fldChar w:fldCharType="begin"/>
      </w:r>
      <w:r w:rsidR="00EC453E">
        <w:rPr>
          <w:rFonts w:ascii="Times New Roman" w:hAnsi="Times New Roman" w:cs="Times New Roman"/>
          <w:lang w:val="en-US"/>
        </w:rPr>
        <w:instrText xml:space="preserve"> ADDIN EN.CITE &lt;EndNote&gt;&lt;Cite&gt;&lt;Author&gt;Marmot&lt;/Author&gt;&lt;Year&gt;1991&lt;/Year&gt;&lt;RecNum&gt;128&lt;/RecNum&gt;&lt;DisplayText&gt;(Marmot et al., 1991)&lt;/DisplayText&gt;&lt;record&gt;&lt;rec-number&gt;128&lt;/rec-number&gt;&lt;foreign-keys&gt;&lt;key app="EN" db-id="0fa5efddnp05teeps525ewxdrtpvfdat9zwt" timestamp="1744041924"&gt;128&lt;/key&gt;&lt;/foreign-keys&gt;&lt;ref-type name="Journal Article"&gt;17&lt;/ref-type&gt;&lt;contributors&gt;&lt;authors&gt;&lt;author&gt;Marmot, M. G.&lt;/author&gt;&lt;author&gt;Smith, G. D.&lt;/author&gt;&lt;author&gt;Stansfeld, S.&lt;/author&gt;&lt;author&gt;Patel, C.&lt;/author&gt;&lt;author&gt;North, F.&lt;/author&gt;&lt;author&gt;Head, J.&lt;/author&gt;&lt;author&gt;White, I.&lt;/author&gt;&lt;author&gt;Brunner, E.&lt;/author&gt;&lt;author&gt;Feeney, A.&lt;/author&gt;&lt;/authors&gt;&lt;/contributors&gt;&lt;auth-address&gt;Department of Epidemiology and Public Health, University College and Middlesex School of Medicine, London.&lt;/auth-address&gt;&lt;titles&gt;&lt;title&gt;Health inequalities among British civil servants: the Whitehall II study&lt;/title&gt;&lt;secondary-title&gt;Lancet&lt;/secondary-title&gt;&lt;/titles&gt;&lt;periodical&gt;&lt;full-title&gt;Lancet&lt;/full-title&gt;&lt;/periodical&gt;&lt;pages&gt;1387-93&lt;/pages&gt;&lt;volume&gt;337&lt;/volume&gt;&lt;number&gt;8754&lt;/number&gt;&lt;keywords&gt;&lt;keyword&gt;Adult&lt;/keyword&gt;&lt;keyword&gt;Coronary Disease/epidemiology&lt;/keyword&gt;&lt;keyword&gt;Employment/*statistics &amp;amp; numerical data&lt;/keyword&gt;&lt;keyword&gt;Female&lt;/keyword&gt;&lt;keyword&gt;*Government Agencies&lt;/keyword&gt;&lt;keyword&gt;Health Behavior&lt;/keyword&gt;&lt;keyword&gt;*Health Status Indicators&lt;/keyword&gt;&lt;keyword&gt;Humans&lt;/keyword&gt;&lt;keyword&gt;London/epidemiology&lt;/keyword&gt;&lt;keyword&gt;Male&lt;/keyword&gt;&lt;keyword&gt;Middle Aged&lt;/keyword&gt;&lt;keyword&gt;Prevalence&lt;/keyword&gt;&lt;keyword&gt;Risk Factors&lt;/keyword&gt;&lt;keyword&gt;*Social Class&lt;/keyword&gt;&lt;keyword&gt;Social Support&lt;/keyword&gt;&lt;keyword&gt;Socioeconomic Factors&lt;/keyword&gt;&lt;keyword&gt;Surveys and Questionnaires&lt;/keyword&gt;&lt;/keywords&gt;&lt;dates&gt;&lt;year&gt;1991&lt;/year&gt;&lt;pub-dates&gt;&lt;date&gt;Jun 8&lt;/date&gt;&lt;/pub-dates&gt;&lt;/dates&gt;&lt;isbn&gt;0140-6736 (Print)&amp;#xD;0140-6736&lt;/isbn&gt;&lt;accession-num&gt;1674771&lt;/accession-num&gt;&lt;urls&gt;&lt;/urls&gt;&lt;electronic-resource-num&gt;10.1016/0140-6736(91)93068-k&lt;/electronic-resource-num&gt;&lt;remote-database-provider&gt;NLM&lt;/remote-database-provider&gt;&lt;language&gt;eng&lt;/language&gt;&lt;/record&gt;&lt;/Cite&gt;&lt;/EndNote&gt;</w:instrText>
      </w:r>
      <w:r w:rsidR="00EC453E">
        <w:rPr>
          <w:rFonts w:ascii="Times New Roman" w:hAnsi="Times New Roman" w:cs="Times New Roman"/>
          <w:lang w:val="en-US"/>
        </w:rPr>
        <w:fldChar w:fldCharType="separate"/>
      </w:r>
      <w:r w:rsidR="00EC453E">
        <w:rPr>
          <w:rFonts w:ascii="Times New Roman" w:hAnsi="Times New Roman" w:cs="Times New Roman"/>
          <w:noProof/>
          <w:lang w:val="en-US"/>
        </w:rPr>
        <w:t>(Marmot et al., 1991)</w:t>
      </w:r>
      <w:r w:rsidR="00EC453E">
        <w:rPr>
          <w:rFonts w:ascii="Times New Roman" w:hAnsi="Times New Roman" w:cs="Times New Roman"/>
          <w:lang w:val="en-US"/>
        </w:rPr>
        <w:fldChar w:fldCharType="end"/>
      </w:r>
      <w:r w:rsidR="00EC453E">
        <w:rPr>
          <w:rFonts w:ascii="Times New Roman" w:hAnsi="Times New Roman" w:cs="Times New Roman"/>
          <w:lang w:val="en-US"/>
        </w:rPr>
        <w:t xml:space="preserve">.  This research underscores that factors outside of medical care are significant determinants of health outcomes. Another often cited example is the health expenditure of the United States. Even though the US is the top spender per capita on medical care, yet it traditionally ranks low on international comparative health rankings </w:t>
      </w:r>
      <w:r w:rsidR="007E22F8">
        <w:rPr>
          <w:rFonts w:ascii="Times New Roman" w:hAnsi="Times New Roman" w:cs="Times New Roman"/>
          <w:lang w:val="en-US"/>
        </w:rPr>
        <w:fldChar w:fldCharType="begin"/>
      </w:r>
      <w:r w:rsidR="007E22F8">
        <w:rPr>
          <w:rFonts w:ascii="Times New Roman" w:hAnsi="Times New Roman" w:cs="Times New Roman"/>
          <w:lang w:val="en-US"/>
        </w:rPr>
        <w:instrText xml:space="preserve"> ADDIN EN.CITE &lt;EndNote&gt;&lt;Cite&gt;&lt;Author&gt;Braveman&lt;/Author&gt;&lt;Year&gt;2014&lt;/Year&gt;&lt;RecNum&gt;123&lt;/RecNum&gt;&lt;DisplayText&gt;(Braveman &amp;amp; Gottlieb, 2014)&lt;/DisplayText&gt;&lt;record&gt;&lt;rec-number&gt;123&lt;/rec-number&gt;&lt;foreign-keys&gt;&lt;key app="EN" db-id="0fa5efddnp05teeps525ewxdrtpvfdat9zwt" timestamp="1744036163"&gt;123&lt;/key&gt;&lt;/foreign-keys&gt;&lt;ref-type name="Journal Article"&gt;17&lt;/ref-type&gt;&lt;contributors&gt;&lt;authors&gt;&lt;author&gt;Braveman, P.&lt;/author&gt;&lt;author&gt;Gottlieb, L.&lt;/author&gt;&lt;/authors&gt;&lt;/contributors&gt;&lt;auth-address&gt;University of California, San Francisco, School of Medicine, Department of Family and Community Medicine, Center on Social Disparities in Health, San Francisco, CA.&amp;#xD;University of California, San Francisco, School of Medicine, Department of Family and Community Medicine, Center for Health and Community, San Francisco, CA.&lt;/auth-address&gt;&lt;titles&gt;&lt;title&gt;The social determinants of health: it&amp;apos;s time to consider the causes of the causes&lt;/title&gt;&lt;secondary-title&gt;Public Health Rep&lt;/secondary-title&gt;&lt;/titles&gt;&lt;periodical&gt;&lt;full-title&gt;Public Health Rep&lt;/full-title&gt;&lt;/periodical&gt;&lt;pages&gt;19-31&lt;/pages&gt;&lt;volume&gt;129 Suppl 2&lt;/volume&gt;&lt;number&gt;Suppl 2&lt;/number&gt;&lt;keywords&gt;&lt;keyword&gt;Delivery of Health Care&lt;/keyword&gt;&lt;keyword&gt;Epigenesis, Genetic&lt;/keyword&gt;&lt;keyword&gt;Health Status&lt;/keyword&gt;&lt;keyword&gt;Humans&lt;/keyword&gt;&lt;keyword&gt;*Social Determinants of Health&lt;/keyword&gt;&lt;keyword&gt;Socioeconomic Factors&lt;/keyword&gt;&lt;keyword&gt;United States&lt;/keyword&gt;&lt;keyword&gt;Vulnerable Populations&lt;/keyword&gt;&lt;/keywords&gt;&lt;dates&gt;&lt;year&gt;2014&lt;/year&gt;&lt;pub-dates&gt;&lt;date&gt;Jan-Feb&lt;/date&gt;&lt;/pub-dates&gt;&lt;/dates&gt;&lt;isbn&gt;0033-3549 (Print)&amp;#xD;0033-3549&lt;/isbn&gt;&lt;accession-num&gt;24385661&lt;/accession-num&gt;&lt;urls&gt;&lt;/urls&gt;&lt;custom2&gt;PMC3863696&lt;/custom2&gt;&lt;electronic-resource-num&gt;10.1177/00333549141291s206&lt;/electronic-resource-num&gt;&lt;remote-database-provider&gt;NLM&lt;/remote-database-provider&gt;&lt;language&gt;eng&lt;/language&gt;&lt;/record&gt;&lt;/Cite&gt;&lt;/EndNote&gt;</w:instrText>
      </w:r>
      <w:r w:rsidR="007E22F8">
        <w:rPr>
          <w:rFonts w:ascii="Times New Roman" w:hAnsi="Times New Roman" w:cs="Times New Roman"/>
          <w:lang w:val="en-US"/>
        </w:rPr>
        <w:fldChar w:fldCharType="separate"/>
      </w:r>
      <w:r w:rsidR="007E22F8">
        <w:rPr>
          <w:rFonts w:ascii="Times New Roman" w:hAnsi="Times New Roman" w:cs="Times New Roman"/>
          <w:noProof/>
          <w:lang w:val="en-US"/>
        </w:rPr>
        <w:t>(Braveman &amp; Gottlieb, 2014)</w:t>
      </w:r>
      <w:r w:rsidR="007E22F8">
        <w:rPr>
          <w:rFonts w:ascii="Times New Roman" w:hAnsi="Times New Roman" w:cs="Times New Roman"/>
          <w:lang w:val="en-US"/>
        </w:rPr>
        <w:fldChar w:fldCharType="end"/>
      </w:r>
      <w:r w:rsidR="007E22F8">
        <w:rPr>
          <w:rFonts w:ascii="Times New Roman" w:hAnsi="Times New Roman" w:cs="Times New Roman"/>
          <w:lang w:val="en-US"/>
        </w:rPr>
        <w:t xml:space="preserve">. </w:t>
      </w:r>
    </w:p>
    <w:p w14:paraId="40383D01" w14:textId="6E05D01B" w:rsidR="007E22F8" w:rsidRPr="00903EA3" w:rsidRDefault="007E22F8" w:rsidP="00C94ADB">
      <w:pPr>
        <w:jc w:val="both"/>
        <w:rPr>
          <w:rFonts w:ascii="Times New Roman" w:hAnsi="Times New Roman" w:cs="Times New Roman"/>
          <w:b/>
          <w:bCs/>
          <w:lang w:val="en-US"/>
        </w:rPr>
      </w:pPr>
      <w:r w:rsidRPr="00903EA3">
        <w:rPr>
          <w:rFonts w:ascii="Times New Roman" w:hAnsi="Times New Roman" w:cs="Times New Roman"/>
          <w:b/>
          <w:bCs/>
          <w:lang w:val="en-US"/>
        </w:rPr>
        <w:t>Social Determinants of Health</w:t>
      </w:r>
    </w:p>
    <w:p w14:paraId="6E78BB7A" w14:textId="77777777" w:rsidR="00951ADC" w:rsidRPr="00903EA3" w:rsidRDefault="002D3962" w:rsidP="00903EA3">
      <w:pPr>
        <w:spacing w:after="0" w:line="276" w:lineRule="auto"/>
        <w:jc w:val="both"/>
        <w:rPr>
          <w:rFonts w:ascii="Times New Roman" w:hAnsi="Times New Roman" w:cs="Times New Roman"/>
          <w:lang w:val="en-US"/>
        </w:rPr>
      </w:pPr>
      <w:r w:rsidRPr="00903EA3">
        <w:rPr>
          <w:rFonts w:ascii="Times New Roman" w:hAnsi="Times New Roman" w:cs="Times New Roman"/>
          <w:lang w:val="en-US"/>
        </w:rPr>
        <w:t xml:space="preserve">The social determinants of health can be broken down into three subcategories, the socio-economic determinants, the psychosocial risk factors, and the community and societal characteristics </w:t>
      </w:r>
      <w:r w:rsidRPr="00903EA3">
        <w:rPr>
          <w:rFonts w:ascii="Times New Roman" w:hAnsi="Times New Roman" w:cs="Times New Roman"/>
          <w:lang w:val="en-US"/>
        </w:rPr>
        <w:fldChar w:fldCharType="begin"/>
      </w:r>
      <w:r w:rsidRPr="00903EA3">
        <w:rPr>
          <w:rFonts w:ascii="Times New Roman" w:hAnsi="Times New Roman" w:cs="Times New Roman"/>
          <w:lang w:val="en-US"/>
        </w:rPr>
        <w:instrText xml:space="preserve"> ADDIN EN.CITE &lt;EndNote&gt;&lt;Cite&gt;&lt;Author&gt;Ansari&lt;/Author&gt;&lt;Year&gt;2003&lt;/Year&gt;&lt;RecNum&gt;130&lt;/RecNum&gt;&lt;DisplayText&gt;(Ansari et al., 2003)&lt;/DisplayText&gt;&lt;record&gt;&lt;rec-number&gt;130&lt;/rec-number&gt;&lt;foreign-keys&gt;&lt;key app="EN" db-id="0fa5efddnp05teeps525ewxdrtpvfdat9zwt" timestamp="1744101857"&gt;130&lt;/key&gt;&lt;/foreign-keys&gt;&lt;ref-type name="Journal Article"&gt;17&lt;/ref-type&gt;&lt;contributors&gt;&lt;authors&gt;&lt;author&gt;Ansari, Zahid&lt;/author&gt;&lt;author&gt;Carson, Norman J&lt;/author&gt;&lt;author&gt;Ackland, Michael J&lt;/author&gt;&lt;author&gt;Vaughan, Loretta&lt;/author&gt;&lt;author&gt;Serraglio, Adrian&lt;/author&gt;&lt;/authors&gt;&lt;/contributors&gt;&lt;titles&gt;&lt;title&gt;A public health model of the social determinants of health&lt;/title&gt;&lt;secondary-title&gt;Sozial-und Präventivmedizin/Social and Preventive Medicine&lt;/secondary-title&gt;&lt;/titles&gt;&lt;periodical&gt;&lt;full-title&gt;Sozial-und Präventivmedizin/Social and Preventive Medicine&lt;/full-title&gt;&lt;/periodical&gt;&lt;pages&gt;242-251&lt;/pages&gt;&lt;volume&gt;48&lt;/volume&gt;&lt;dates&gt;&lt;year&gt;2003&lt;/year&gt;&lt;/dates&gt;&lt;isbn&gt;0303-8408&lt;/isbn&gt;&lt;urls&gt;&lt;/urls&gt;&lt;/record&gt;&lt;/Cite&gt;&lt;/EndNote&gt;</w:instrText>
      </w:r>
      <w:r w:rsidRPr="00903EA3">
        <w:rPr>
          <w:rFonts w:ascii="Times New Roman" w:hAnsi="Times New Roman" w:cs="Times New Roman"/>
          <w:lang w:val="en-US"/>
        </w:rPr>
        <w:fldChar w:fldCharType="separate"/>
      </w:r>
      <w:r w:rsidRPr="00903EA3">
        <w:rPr>
          <w:rFonts w:ascii="Times New Roman" w:hAnsi="Times New Roman" w:cs="Times New Roman"/>
          <w:noProof/>
          <w:lang w:val="en-US"/>
        </w:rPr>
        <w:t>(Ansari et al., 2003)</w:t>
      </w:r>
      <w:r w:rsidRPr="00903EA3">
        <w:rPr>
          <w:rFonts w:ascii="Times New Roman" w:hAnsi="Times New Roman" w:cs="Times New Roman"/>
          <w:lang w:val="en-US"/>
        </w:rPr>
        <w:fldChar w:fldCharType="end"/>
      </w:r>
      <w:r w:rsidRPr="00903EA3">
        <w:rPr>
          <w:rFonts w:ascii="Times New Roman" w:hAnsi="Times New Roman" w:cs="Times New Roman"/>
          <w:lang w:val="en-US"/>
        </w:rPr>
        <w:t>. Firstly, the socio-economic determinants are the most influential determinants for health outcomes. These determinants include factors such as age, income, race, ethnicity, education, employment, and housing.</w:t>
      </w:r>
      <w:r w:rsidR="00951ADC" w:rsidRPr="00903EA3">
        <w:rPr>
          <w:rFonts w:ascii="Times New Roman" w:hAnsi="Times New Roman" w:cs="Times New Roman"/>
          <w:lang w:val="en-US"/>
        </w:rPr>
        <w:t xml:space="preserve"> Secondly, the psychosocial risk factors include factors such as poor social networks, depression, anxiety, and stress </w:t>
      </w:r>
      <w:r w:rsidR="00951ADC" w:rsidRPr="00903EA3">
        <w:rPr>
          <w:rFonts w:ascii="Times New Roman" w:hAnsi="Times New Roman" w:cs="Times New Roman"/>
          <w:lang w:val="en-US"/>
        </w:rPr>
        <w:fldChar w:fldCharType="begin"/>
      </w:r>
      <w:r w:rsidR="00951ADC" w:rsidRPr="00903EA3">
        <w:rPr>
          <w:rFonts w:ascii="Times New Roman" w:hAnsi="Times New Roman" w:cs="Times New Roman"/>
          <w:lang w:val="en-US"/>
        </w:rPr>
        <w:instrText xml:space="preserve"> ADDIN EN.CITE &lt;EndNote&gt;&lt;Cite&gt;&lt;Author&gt;Ansari&lt;/Author&gt;&lt;Year&gt;2003&lt;/Year&gt;&lt;RecNum&gt;130&lt;/RecNum&gt;&lt;DisplayText&gt;(Ansari et al., 2003)&lt;/DisplayText&gt;&lt;record&gt;&lt;rec-number&gt;130&lt;/rec-number&gt;&lt;foreign-keys&gt;&lt;key app="EN" db-id="0fa5efddnp05teeps525ewxdrtpvfdat9zwt" timestamp="1744101857"&gt;130&lt;/key&gt;&lt;/foreign-keys&gt;&lt;ref-type name="Journal Article"&gt;17&lt;/ref-type&gt;&lt;contributors&gt;&lt;authors&gt;&lt;author&gt;Ansari, Zahid&lt;/author&gt;&lt;author&gt;Carson, Norman J&lt;/author&gt;&lt;author&gt;Ackland, Michael J&lt;/author&gt;&lt;author&gt;Vaughan, Loretta&lt;/author&gt;&lt;author&gt;Serraglio, Adrian&lt;/author&gt;&lt;/authors&gt;&lt;/contributors&gt;&lt;titles&gt;&lt;title&gt;A public health model of the social determinants of health&lt;/title&gt;&lt;secondary-title&gt;Sozial-und Präventivmedizin/Social and Preventive Medicine&lt;/secondary-title&gt;&lt;/titles&gt;&lt;periodical&gt;&lt;full-title&gt;Sozial-und Präventivmedizin/Social and Preventive Medicine&lt;/full-title&gt;&lt;/periodical&gt;&lt;pages&gt;242-251&lt;/pages&gt;&lt;volume&gt;48&lt;/volume&gt;&lt;dates&gt;&lt;year&gt;2003&lt;/year&gt;&lt;/dates&gt;&lt;isbn&gt;0303-8408&lt;/isbn&gt;&lt;urls&gt;&lt;/urls&gt;&lt;/record&gt;&lt;/Cite&gt;&lt;/EndNote&gt;</w:instrText>
      </w:r>
      <w:r w:rsidR="00951ADC" w:rsidRPr="00903EA3">
        <w:rPr>
          <w:rFonts w:ascii="Times New Roman" w:hAnsi="Times New Roman" w:cs="Times New Roman"/>
          <w:lang w:val="en-US"/>
        </w:rPr>
        <w:fldChar w:fldCharType="separate"/>
      </w:r>
      <w:r w:rsidR="00951ADC" w:rsidRPr="00903EA3">
        <w:rPr>
          <w:rFonts w:ascii="Times New Roman" w:hAnsi="Times New Roman" w:cs="Times New Roman"/>
          <w:noProof/>
          <w:lang w:val="en-US"/>
        </w:rPr>
        <w:t>(Ansari et al., 2003)</w:t>
      </w:r>
      <w:r w:rsidR="00951ADC" w:rsidRPr="00903EA3">
        <w:rPr>
          <w:rFonts w:ascii="Times New Roman" w:hAnsi="Times New Roman" w:cs="Times New Roman"/>
          <w:lang w:val="en-US"/>
        </w:rPr>
        <w:fldChar w:fldCharType="end"/>
      </w:r>
      <w:r w:rsidR="00951ADC" w:rsidRPr="00903EA3">
        <w:rPr>
          <w:rFonts w:ascii="Times New Roman" w:hAnsi="Times New Roman" w:cs="Times New Roman"/>
          <w:lang w:val="en-US"/>
        </w:rPr>
        <w:t xml:space="preserve">. Especially severe stress is linked to poor health outcomes in various studies </w:t>
      </w:r>
      <w:r w:rsidR="00951ADC" w:rsidRPr="00903EA3">
        <w:rPr>
          <w:rFonts w:ascii="Times New Roman" w:hAnsi="Times New Roman" w:cs="Times New Roman"/>
          <w:lang w:val="en-US"/>
        </w:rPr>
        <w:fldChar w:fldCharType="begin"/>
      </w:r>
      <w:r w:rsidR="00951ADC" w:rsidRPr="00903EA3">
        <w:rPr>
          <w:rFonts w:ascii="Times New Roman" w:hAnsi="Times New Roman" w:cs="Times New Roman"/>
          <w:lang w:val="en-US"/>
        </w:rPr>
        <w:instrText xml:space="preserve"> ADDIN EN.CITE &lt;EndNote&gt;&lt;Cite&gt;&lt;Author&gt;Garfin&lt;/Author&gt;&lt;Year&gt;2018&lt;/Year&gt;&lt;RecNum&gt;131&lt;/RecNum&gt;&lt;DisplayText&gt;(Garfin et al., 2018; Taylor, 2010)&lt;/DisplayText&gt;&lt;record&gt;&lt;rec-number&gt;131&lt;/rec-number&gt;&lt;foreign-keys&gt;&lt;key app="EN" db-id="0fa5efddnp05teeps525ewxdrtpvfdat9zwt" timestamp="1744102386"&gt;131&lt;/key&gt;&lt;/foreign-keys&gt;&lt;ref-type name="Journal Article"&gt;17&lt;/ref-type&gt;&lt;contributors&gt;&lt;authors&gt;&lt;author&gt;Garfin, Dana Rose&lt;/author&gt;&lt;author&gt;Thompson, Rebecca R&lt;/author&gt;&lt;author&gt;Holman, E Alison&lt;/author&gt;&lt;/authors&gt;&lt;/contributors&gt;&lt;titles&gt;&lt;title&gt;Acute stress and subsequent health outcomes: A systematic review&lt;/title&gt;&lt;secondary-title&gt;Journal of psychosomatic research&lt;/secondary-title&gt;&lt;/titles&gt;&lt;periodical&gt;&lt;full-title&gt;Journal of psychosomatic research&lt;/full-title&gt;&lt;/periodical&gt;&lt;pages&gt;107-113&lt;/pages&gt;&lt;volume&gt;112&lt;/volume&gt;&lt;dates&gt;&lt;year&gt;2018&lt;/year&gt;&lt;/dates&gt;&lt;isbn&gt;0022-3999&lt;/isbn&gt;&lt;urls&gt;&lt;/urls&gt;&lt;/record&gt;&lt;/Cite&gt;&lt;Cite&gt;&lt;Author&gt;Taylor&lt;/Author&gt;&lt;Year&gt;2010&lt;/Year&gt;&lt;RecNum&gt;132&lt;/RecNum&gt;&lt;record&gt;&lt;rec-number&gt;132&lt;/rec-number&gt;&lt;foreign-keys&gt;&lt;key app="EN" db-id="0fa5efddnp05teeps525ewxdrtpvfdat9zwt" timestamp="1744102398"&gt;132&lt;/key&gt;&lt;/foreign-keys&gt;&lt;ref-type name="Journal Article"&gt;17&lt;/ref-type&gt;&lt;contributors&gt;&lt;authors&gt;&lt;author&gt;Taylor, Shelley E&lt;/author&gt;&lt;/authors&gt;&lt;/contributors&gt;&lt;titles&gt;&lt;title&gt;Mechanisms linking early life stress to adult health outcomes&lt;/title&gt;&lt;secondary-title&gt;Proceedings of the National Academy of Sciences&lt;/secondary-title&gt;&lt;/titles&gt;&lt;periodical&gt;&lt;full-title&gt;Proceedings of the National Academy of Sciences&lt;/full-title&gt;&lt;/periodical&gt;&lt;pages&gt;8507-8512&lt;/pages&gt;&lt;volume&gt;107&lt;/volume&gt;&lt;number&gt;19&lt;/number&gt;&lt;dates&gt;&lt;year&gt;2010&lt;/year&gt;&lt;/dates&gt;&lt;isbn&gt;0027-8424&lt;/isbn&gt;&lt;urls&gt;&lt;/urls&gt;&lt;/record&gt;&lt;/Cite&gt;&lt;/EndNote&gt;</w:instrText>
      </w:r>
      <w:r w:rsidR="00951ADC" w:rsidRPr="00903EA3">
        <w:rPr>
          <w:rFonts w:ascii="Times New Roman" w:hAnsi="Times New Roman" w:cs="Times New Roman"/>
          <w:lang w:val="en-US"/>
        </w:rPr>
        <w:fldChar w:fldCharType="separate"/>
      </w:r>
      <w:r w:rsidR="00951ADC" w:rsidRPr="00903EA3">
        <w:rPr>
          <w:rFonts w:ascii="Times New Roman" w:hAnsi="Times New Roman" w:cs="Times New Roman"/>
          <w:noProof/>
          <w:lang w:val="en-US"/>
        </w:rPr>
        <w:t>(Garfin et al., 2018; Taylor, 2010)</w:t>
      </w:r>
      <w:r w:rsidR="00951ADC" w:rsidRPr="00903EA3">
        <w:rPr>
          <w:rFonts w:ascii="Times New Roman" w:hAnsi="Times New Roman" w:cs="Times New Roman"/>
          <w:lang w:val="en-US"/>
        </w:rPr>
        <w:fldChar w:fldCharType="end"/>
      </w:r>
      <w:r w:rsidR="00951ADC" w:rsidRPr="00903EA3">
        <w:rPr>
          <w:rFonts w:ascii="Times New Roman" w:hAnsi="Times New Roman" w:cs="Times New Roman"/>
          <w:lang w:val="en-US"/>
        </w:rPr>
        <w:t xml:space="preserve">.  Lastly, community and societal characteristics are identified as a health determinant, which include factors such as poverty, crime rate, income inequality, trust in social institutions, and tolerance of diversity.  These components of the social determinants of health influence each other as well as health outcomes. </w:t>
      </w:r>
    </w:p>
    <w:p w14:paraId="30DDEDA4" w14:textId="77777777" w:rsidR="00903EA3" w:rsidRDefault="00903EA3" w:rsidP="002D3962">
      <w:pPr>
        <w:spacing w:after="0" w:line="240" w:lineRule="auto"/>
        <w:jc w:val="both"/>
        <w:rPr>
          <w:rFonts w:ascii="Times New Roman" w:hAnsi="Times New Roman" w:cs="Times New Roman"/>
          <w:lang w:val="en-US"/>
        </w:rPr>
      </w:pPr>
    </w:p>
    <w:p w14:paraId="0B755294" w14:textId="4EB7CB0C" w:rsidR="00903EA3" w:rsidRDefault="00903EA3" w:rsidP="002D3962">
      <w:pPr>
        <w:spacing w:after="0" w:line="240" w:lineRule="auto"/>
        <w:jc w:val="both"/>
        <w:rPr>
          <w:rFonts w:ascii="Times New Roman" w:hAnsi="Times New Roman" w:cs="Times New Roman"/>
          <w:b/>
          <w:bCs/>
          <w:lang w:val="en-US"/>
        </w:rPr>
      </w:pPr>
      <w:r w:rsidRPr="00903EA3">
        <w:rPr>
          <w:rFonts w:ascii="Times New Roman" w:hAnsi="Times New Roman" w:cs="Times New Roman"/>
          <w:b/>
          <w:bCs/>
          <w:lang w:val="en-US"/>
        </w:rPr>
        <w:t xml:space="preserve">Behavior </w:t>
      </w:r>
    </w:p>
    <w:p w14:paraId="35442E59" w14:textId="30587BAD" w:rsidR="00903EA3" w:rsidRDefault="00903EA3" w:rsidP="002D3962">
      <w:pPr>
        <w:spacing w:after="0" w:line="240" w:lineRule="auto"/>
        <w:jc w:val="both"/>
        <w:rPr>
          <w:rFonts w:ascii="Times New Roman" w:hAnsi="Times New Roman" w:cs="Times New Roman"/>
          <w:lang w:val="en-US"/>
        </w:rPr>
      </w:pPr>
    </w:p>
    <w:p w14:paraId="422BA92F" w14:textId="7BDDD920" w:rsidR="00903EA3" w:rsidRPr="00903EA3" w:rsidRDefault="00903EA3" w:rsidP="00BF3464">
      <w:pPr>
        <w:spacing w:after="0" w:line="276" w:lineRule="auto"/>
        <w:jc w:val="both"/>
        <w:rPr>
          <w:rFonts w:ascii="Times New Roman" w:hAnsi="Times New Roman" w:cs="Times New Roman"/>
          <w:lang w:val="en-US"/>
        </w:rPr>
      </w:pPr>
      <w:r>
        <w:rPr>
          <w:rFonts w:ascii="Times New Roman" w:hAnsi="Times New Roman" w:cs="Times New Roman"/>
          <w:lang w:val="en-US"/>
        </w:rPr>
        <w:t>Behavior is often identified as a key health determinant. Behavior in this context refers to the lifestyle choices and daily habits that affect health outcomes.</w:t>
      </w:r>
      <w:r w:rsidR="007B493F">
        <w:rPr>
          <w:rFonts w:ascii="Times New Roman" w:hAnsi="Times New Roman" w:cs="Times New Roman"/>
          <w:lang w:val="en-US"/>
        </w:rPr>
        <w:t xml:space="preserve"> Commonly researched behaviors include smoking, diet and nutrition, physical exercise, alcohol and substance use, sleep habits, and sexual activity.</w:t>
      </w:r>
      <w:r>
        <w:rPr>
          <w:rFonts w:ascii="Times New Roman" w:hAnsi="Times New Roman" w:cs="Times New Roman"/>
          <w:lang w:val="en-US"/>
        </w:rPr>
        <w:t xml:space="preserve"> </w:t>
      </w:r>
      <w:r w:rsidR="007B493F">
        <w:rPr>
          <w:rFonts w:ascii="Times New Roman" w:hAnsi="Times New Roman" w:cs="Times New Roman"/>
          <w:lang w:val="en-US"/>
        </w:rPr>
        <w:t>Moreover</w:t>
      </w:r>
      <w:r>
        <w:rPr>
          <w:rFonts w:ascii="Times New Roman" w:hAnsi="Times New Roman" w:cs="Times New Roman"/>
          <w:lang w:val="en-US"/>
        </w:rPr>
        <w:t>, it is often referred to as a modifiable determinant, meaning that people</w:t>
      </w:r>
      <w:r w:rsidR="007B493F">
        <w:rPr>
          <w:rFonts w:ascii="Times New Roman" w:hAnsi="Times New Roman" w:cs="Times New Roman"/>
          <w:lang w:val="en-US"/>
        </w:rPr>
        <w:t>, at least in theory, can change their behavior in order to ensure better health outcomes</w:t>
      </w:r>
      <w:r w:rsidR="00BF3464">
        <w:rPr>
          <w:rFonts w:ascii="Times New Roman" w:hAnsi="Times New Roman" w:cs="Times New Roman"/>
          <w:lang w:val="en-US"/>
        </w:rPr>
        <w:t xml:space="preserve"> </w:t>
      </w:r>
      <w:r w:rsidR="00BF3464">
        <w:rPr>
          <w:rFonts w:ascii="Times New Roman" w:hAnsi="Times New Roman" w:cs="Times New Roman"/>
          <w:lang w:val="en-US"/>
        </w:rPr>
        <w:fldChar w:fldCharType="begin"/>
      </w:r>
      <w:r w:rsidR="00BF3464">
        <w:rPr>
          <w:rFonts w:ascii="Times New Roman" w:hAnsi="Times New Roman" w:cs="Times New Roman"/>
          <w:lang w:val="en-US"/>
        </w:rPr>
        <w:instrText xml:space="preserve"> ADDIN EN.CITE &lt;EndNote&gt;&lt;Cite&gt;&lt;Author&gt;Daw&lt;/Author&gt;&lt;Year&gt;2017&lt;/Year&gt;&lt;RecNum&gt;135&lt;/RecNum&gt;&lt;DisplayText&gt;(Daw et al., 2017)&lt;/DisplayText&gt;&lt;record&gt;&lt;rec-number&gt;135&lt;/rec-number&gt;&lt;foreign-keys&gt;&lt;key app="EN" db-id="0fa5efddnp05teeps525ewxdrtpvfdat9zwt" timestamp="1744104188"&gt;135&lt;/key&gt;&lt;/foreign-keys&gt;&lt;ref-type name="Journal Article"&gt;17&lt;/ref-type&gt;&lt;contributors&gt;&lt;authors&gt;&lt;author&gt;Daw, Jonathan&lt;/author&gt;&lt;author&gt;Margolis, Rachel&lt;/author&gt;&lt;author&gt;Wright, Laura&lt;/author&gt;&lt;/authors&gt;&lt;/contributors&gt;&lt;titles&gt;&lt;title&gt;Emerging adulthood, emergent health lifestyles: Sociodemographic determinants of trajectories of smoking, binge drinking, obesity, and sedentary behavior&lt;/title&gt;&lt;secondary-title&gt;Journal of health and social behavior&lt;/secondary-title&gt;&lt;/titles&gt;&lt;periodical&gt;&lt;full-title&gt;Journal of health and social behavior&lt;/full-title&gt;&lt;/periodical&gt;&lt;pages&gt;181-197&lt;/pages&gt;&lt;volume&gt;58&lt;/volume&gt;&lt;number&gt;2&lt;/number&gt;&lt;dates&gt;&lt;year&gt;2017&lt;/year&gt;&lt;/dates&gt;&lt;isbn&gt;0022-1465&lt;/isbn&gt;&lt;urls&gt;&lt;/urls&gt;&lt;/record&gt;&lt;/Cite&gt;&lt;/EndNote&gt;</w:instrText>
      </w:r>
      <w:r w:rsidR="00BF3464">
        <w:rPr>
          <w:rFonts w:ascii="Times New Roman" w:hAnsi="Times New Roman" w:cs="Times New Roman"/>
          <w:lang w:val="en-US"/>
        </w:rPr>
        <w:fldChar w:fldCharType="separate"/>
      </w:r>
      <w:r w:rsidR="00BF3464">
        <w:rPr>
          <w:rFonts w:ascii="Times New Roman" w:hAnsi="Times New Roman" w:cs="Times New Roman"/>
          <w:lang w:val="en-US"/>
        </w:rPr>
        <w:t>(Daw et al., 2017)</w:t>
      </w:r>
      <w:r w:rsidR="00BF3464">
        <w:rPr>
          <w:rFonts w:ascii="Times New Roman" w:hAnsi="Times New Roman" w:cs="Times New Roman"/>
          <w:lang w:val="en-US"/>
        </w:rPr>
        <w:fldChar w:fldCharType="end"/>
      </w:r>
      <w:r w:rsidR="00BF3464">
        <w:rPr>
          <w:rFonts w:ascii="Times New Roman" w:hAnsi="Times New Roman" w:cs="Times New Roman"/>
          <w:lang w:val="en-US"/>
        </w:rPr>
        <w:t>.</w:t>
      </w:r>
      <w:r w:rsidR="007B493F">
        <w:rPr>
          <w:rFonts w:ascii="Times New Roman" w:hAnsi="Times New Roman" w:cs="Times New Roman"/>
          <w:lang w:val="en-US"/>
        </w:rPr>
        <w:t xml:space="preserve"> However, behavior is often shaped by ones physical and social environment</w:t>
      </w:r>
      <w:r w:rsidR="00BF3464">
        <w:rPr>
          <w:rFonts w:ascii="Times New Roman" w:hAnsi="Times New Roman" w:cs="Times New Roman"/>
          <w:lang w:val="en-US"/>
        </w:rPr>
        <w:t xml:space="preserve">. For example, there is a correlation between smoking and unemployment rates </w:t>
      </w:r>
      <w:r w:rsidR="00BF3464">
        <w:rPr>
          <w:rFonts w:ascii="Times New Roman" w:hAnsi="Times New Roman" w:cs="Times New Roman"/>
          <w:lang w:val="en-US"/>
        </w:rPr>
        <w:fldChar w:fldCharType="begin"/>
      </w:r>
      <w:r w:rsidR="00BF3464">
        <w:rPr>
          <w:rFonts w:ascii="Times New Roman" w:hAnsi="Times New Roman" w:cs="Times New Roman"/>
          <w:lang w:val="en-US"/>
        </w:rPr>
        <w:instrText xml:space="preserve"> ADDIN EN.CITE &lt;EndNote&gt;&lt;Cite&gt;&lt;Author&gt;Kaiser&lt;/Author&gt;&lt;Year&gt;2018&lt;/Year&gt;&lt;RecNum&gt;136&lt;/RecNum&gt;&lt;DisplayText&gt;(Janlert, 1997; Kaiser et al., 2018)&lt;/DisplayText&gt;&lt;record&gt;&lt;rec-number&gt;136&lt;/rec-number&gt;&lt;foreign-keys&gt;&lt;key app="EN" db-id="0fa5efddnp05teeps525ewxdrtpvfdat9zwt" timestamp="1744104509"&gt;136&lt;/key&gt;&lt;/foreign-keys&gt;&lt;ref-type name="Journal Article"&gt;17&lt;/ref-type&gt;&lt;contributors&gt;&lt;authors&gt;&lt;author&gt;Kaiser, Micha&lt;/author&gt;&lt;author&gt;Reutter, Mirjam&lt;/author&gt;&lt;author&gt;Sousa-Poza, Alfonso&lt;/author&gt;&lt;author&gt;Strohmaier, Kristina&lt;/author&gt;&lt;/authors&gt;&lt;/contributors&gt;&lt;titles&gt;&lt;title&gt;Smoking and local unemployment: evidence from Germany&lt;/title&gt;&lt;secondary-title&gt;Economics &amp;amp; Human Biology&lt;/secondary-title&gt;&lt;/titles&gt;&lt;periodical&gt;&lt;full-title&gt;Economics &amp;amp; Human Biology&lt;/full-title&gt;&lt;/periodical&gt;&lt;pages&gt;138-147&lt;/pages&gt;&lt;volume&gt;29&lt;/volume&gt;&lt;dates&gt;&lt;year&gt;2018&lt;/year&gt;&lt;/dates&gt;&lt;isbn&gt;1570-677X&lt;/isbn&gt;&lt;urls&gt;&lt;/urls&gt;&lt;/record&gt;&lt;/Cite&gt;&lt;Cite&gt;&lt;Author&gt;Janlert&lt;/Author&gt;&lt;Year&gt;1997&lt;/Year&gt;&lt;RecNum&gt;138&lt;/RecNum&gt;&lt;record&gt;&lt;rec-number&gt;138&lt;/rec-number&gt;&lt;foreign-keys&gt;&lt;key app="EN" db-id="0fa5efddnp05teeps525ewxdrtpvfdat9zwt" timestamp="1744104543"&gt;138&lt;/key&gt;&lt;/foreign-keys&gt;&lt;ref-type name="Journal Article"&gt;17&lt;/ref-type&gt;&lt;contributors&gt;&lt;authors&gt;&lt;author&gt;Janlert, Urban&lt;/author&gt;&lt;/authors&gt;&lt;/contributors&gt;&lt;titles&gt;&lt;title&gt;Unemployment as a disease and diseases of the unemployed&lt;/title&gt;&lt;secondary-title&gt;Scandinavian journal of work, environment &amp;amp; health&lt;/secondary-title&gt;&lt;/titles&gt;&lt;periodical&gt;&lt;full-title&gt;Scandinavian journal of work, environment &amp;amp; health&lt;/full-title&gt;&lt;/periodical&gt;&lt;pages&gt;79-83&lt;/pages&gt;&lt;dates&gt;&lt;year&gt;1997&lt;/year&gt;&lt;/dates&gt;&lt;isbn&gt;0355-3140&lt;/isbn&gt;&lt;urls&gt;&lt;/urls&gt;&lt;/record&gt;&lt;/Cite&gt;&lt;/EndNote&gt;</w:instrText>
      </w:r>
      <w:r w:rsidR="00BF3464">
        <w:rPr>
          <w:rFonts w:ascii="Times New Roman" w:hAnsi="Times New Roman" w:cs="Times New Roman"/>
          <w:lang w:val="en-US"/>
        </w:rPr>
        <w:fldChar w:fldCharType="separate"/>
      </w:r>
      <w:r w:rsidR="00BF3464">
        <w:rPr>
          <w:rFonts w:ascii="Times New Roman" w:hAnsi="Times New Roman" w:cs="Times New Roman"/>
          <w:lang w:val="en-US"/>
        </w:rPr>
        <w:t>(Janlert, 1997; Kaiser et al., 2018)</w:t>
      </w:r>
      <w:r w:rsidR="00BF3464">
        <w:rPr>
          <w:rFonts w:ascii="Times New Roman" w:hAnsi="Times New Roman" w:cs="Times New Roman"/>
          <w:lang w:val="en-US"/>
        </w:rPr>
        <w:fldChar w:fldCharType="end"/>
      </w:r>
      <w:r w:rsidR="00BF3464">
        <w:rPr>
          <w:rFonts w:ascii="Times New Roman" w:hAnsi="Times New Roman" w:cs="Times New Roman"/>
          <w:lang w:val="en-US"/>
        </w:rPr>
        <w:t xml:space="preserve">. </w:t>
      </w:r>
      <w:r w:rsidR="002B7FC0" w:rsidRPr="002B7FC0">
        <w:rPr>
          <w:rFonts w:ascii="Times New Roman" w:hAnsi="Times New Roman" w:cs="Times New Roman"/>
          <w:lang w:val="en-US"/>
        </w:rPr>
        <w:t xml:space="preserve">Various pathways linking behavioral determinants to health outcomes have been </w:t>
      </w:r>
      <w:r w:rsidR="002B7FC0">
        <w:rPr>
          <w:rFonts w:ascii="Times New Roman" w:hAnsi="Times New Roman" w:cs="Times New Roman"/>
          <w:lang w:val="en-US"/>
        </w:rPr>
        <w:t>widely</w:t>
      </w:r>
      <w:r w:rsidR="002B7FC0" w:rsidRPr="002B7FC0">
        <w:rPr>
          <w:rFonts w:ascii="Times New Roman" w:hAnsi="Times New Roman" w:cs="Times New Roman"/>
          <w:lang w:val="en-US"/>
        </w:rPr>
        <w:t xml:space="preserve"> studied, such as how dietary habits influence the risk of developing </w:t>
      </w:r>
      <w:r w:rsidR="002B7FC0">
        <w:rPr>
          <w:rFonts w:ascii="Times New Roman" w:hAnsi="Times New Roman" w:cs="Times New Roman"/>
          <w:lang w:val="en-US"/>
        </w:rPr>
        <w:t xml:space="preserve">conditions such as diabetes, cardiovascular diseases and obesity </w:t>
      </w:r>
      <w:r w:rsidR="002B7FC0">
        <w:rPr>
          <w:rFonts w:ascii="Times New Roman" w:hAnsi="Times New Roman" w:cs="Times New Roman"/>
          <w:lang w:val="en-US"/>
        </w:rPr>
        <w:fldChar w:fldCharType="begin"/>
      </w:r>
      <w:r w:rsidR="002B7FC0">
        <w:rPr>
          <w:rFonts w:ascii="Times New Roman" w:hAnsi="Times New Roman" w:cs="Times New Roman"/>
          <w:lang w:val="en-US"/>
        </w:rPr>
        <w:instrText xml:space="preserve"> ADDIN EN.CITE &lt;EndNote&gt;&lt;Cite&gt;&lt;Author&gt;Jiao&lt;/Author&gt;&lt;Year&gt;2024&lt;/Year&gt;&lt;RecNum&gt;139&lt;/RecNum&gt;&lt;DisplayText&gt;(Jiao, 2024)&lt;/DisplayText&gt;&lt;record&gt;&lt;rec-number&gt;139&lt;/rec-number&gt;&lt;foreign-keys&gt;&lt;key app="EN" db-id="0fa5efddnp05teeps525ewxdrtpvfdat9zwt" timestamp="1744105014"&gt;139&lt;/key&gt;&lt;/foreign-keys&gt;&lt;ref-type name="Generic"&gt;13&lt;/ref-type&gt;&lt;contributors&gt;&lt;authors&gt;&lt;author&gt;Jiao, Li&lt;/author&gt;&lt;/authors&gt;&lt;/contributors&gt;&lt;titles&gt;&lt;title&gt;Social Determinants of Health, Diet, and Health Outcome&lt;/title&gt;&lt;/titles&gt;&lt;pages&gt;3642&lt;/pages&gt;&lt;volume&gt;16&lt;/volume&gt;&lt;number&gt;21&lt;/number&gt;&lt;dates&gt;&lt;year&gt;2024&lt;/year&gt;&lt;/dates&gt;&lt;publisher&gt;MDPI&lt;/publisher&gt;&lt;isbn&gt;2072-6643&lt;/isbn&gt;&lt;urls&gt;&lt;/urls&gt;&lt;/record&gt;&lt;/Cite&gt;&lt;/EndNote&gt;</w:instrText>
      </w:r>
      <w:r w:rsidR="002B7FC0">
        <w:rPr>
          <w:rFonts w:ascii="Times New Roman" w:hAnsi="Times New Roman" w:cs="Times New Roman"/>
          <w:lang w:val="en-US"/>
        </w:rPr>
        <w:fldChar w:fldCharType="separate"/>
      </w:r>
      <w:r w:rsidR="002B7FC0">
        <w:rPr>
          <w:rFonts w:ascii="Times New Roman" w:hAnsi="Times New Roman" w:cs="Times New Roman"/>
          <w:noProof/>
          <w:lang w:val="en-US"/>
        </w:rPr>
        <w:t>(Jiao, 2024)</w:t>
      </w:r>
      <w:r w:rsidR="002B7FC0">
        <w:rPr>
          <w:rFonts w:ascii="Times New Roman" w:hAnsi="Times New Roman" w:cs="Times New Roman"/>
          <w:lang w:val="en-US"/>
        </w:rPr>
        <w:fldChar w:fldCharType="end"/>
      </w:r>
      <w:r w:rsidR="002B7FC0">
        <w:rPr>
          <w:rFonts w:ascii="Times New Roman" w:hAnsi="Times New Roman" w:cs="Times New Roman"/>
          <w:lang w:val="en-US"/>
        </w:rPr>
        <w:t>.</w:t>
      </w:r>
    </w:p>
    <w:p w14:paraId="28901D1C" w14:textId="0FC7226F" w:rsidR="002D3962" w:rsidRDefault="00903EA3" w:rsidP="002D3962">
      <w:pPr>
        <w:spacing w:after="0" w:line="240" w:lineRule="auto"/>
        <w:jc w:val="both"/>
        <w:rPr>
          <w:rFonts w:ascii="Times New Roman" w:hAnsi="Times New Roman" w:cs="Times New Roman"/>
          <w:lang w:val="en-US"/>
        </w:rPr>
      </w:pPr>
      <w:r w:rsidRPr="00903EA3">
        <w:rPr>
          <w:rFonts w:ascii="Times New Roman" w:hAnsi="Times New Roman" w:cs="Times New Roman"/>
          <w:lang w:val="en-US"/>
        </w:rPr>
        <w:lastRenderedPageBreak/>
        <w:drawing>
          <wp:inline distT="0" distB="0" distL="0" distR="0" wp14:anchorId="705592F8" wp14:editId="01E69DDF">
            <wp:extent cx="5760720" cy="4436745"/>
            <wp:effectExtent l="0" t="0" r="0" b="1905"/>
            <wp:docPr id="1701412277" name="Picture 1" descr="A diagram of health outco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12277" name="Picture 1" descr="A diagram of health outcomes&#10;&#10;AI-generated content may be incorrect."/>
                    <pic:cNvPicPr/>
                  </pic:nvPicPr>
                  <pic:blipFill>
                    <a:blip r:embed="rId4"/>
                    <a:stretch>
                      <a:fillRect/>
                    </a:stretch>
                  </pic:blipFill>
                  <pic:spPr>
                    <a:xfrm>
                      <a:off x="0" y="0"/>
                      <a:ext cx="5760720" cy="4436745"/>
                    </a:xfrm>
                    <a:prstGeom prst="rect">
                      <a:avLst/>
                    </a:prstGeom>
                  </pic:spPr>
                </pic:pic>
              </a:graphicData>
            </a:graphic>
          </wp:inline>
        </w:drawing>
      </w:r>
      <w:r w:rsidRPr="00903EA3">
        <w:rPr>
          <w:rFonts w:ascii="Times New Roman" w:hAnsi="Times New Roman" w:cs="Times New Roman"/>
          <w:lang w:val="en-US"/>
        </w:rPr>
        <w:drawing>
          <wp:inline distT="0" distB="0" distL="0" distR="0" wp14:anchorId="6580C022" wp14:editId="256764F1">
            <wp:extent cx="5760720" cy="3488055"/>
            <wp:effectExtent l="0" t="0" r="0" b="0"/>
            <wp:docPr id="647761528" name="Picture 1" descr="A diagram of a social determina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761528" name="Picture 1" descr="A diagram of a social determinants&#10;&#10;AI-generated content may be incorrect."/>
                    <pic:cNvPicPr/>
                  </pic:nvPicPr>
                  <pic:blipFill>
                    <a:blip r:embed="rId5"/>
                    <a:stretch>
                      <a:fillRect/>
                    </a:stretch>
                  </pic:blipFill>
                  <pic:spPr>
                    <a:xfrm>
                      <a:off x="0" y="0"/>
                      <a:ext cx="5760720" cy="3488055"/>
                    </a:xfrm>
                    <a:prstGeom prst="rect">
                      <a:avLst/>
                    </a:prstGeom>
                  </pic:spPr>
                </pic:pic>
              </a:graphicData>
            </a:graphic>
          </wp:inline>
        </w:drawing>
      </w:r>
      <w:r w:rsidR="00951ADC">
        <w:rPr>
          <w:rFonts w:ascii="Times New Roman" w:hAnsi="Times New Roman" w:cs="Times New Roman"/>
          <w:lang w:val="en-US"/>
        </w:rPr>
        <w:t xml:space="preserve"> </w:t>
      </w:r>
    </w:p>
    <w:p w14:paraId="594029A4" w14:textId="15554C9A" w:rsidR="002D3962" w:rsidRDefault="002D3962" w:rsidP="002D3962">
      <w:pPr>
        <w:jc w:val="both"/>
        <w:rPr>
          <w:rFonts w:ascii="Times New Roman" w:hAnsi="Times New Roman" w:cs="Times New Roman"/>
          <w:lang w:val="en-US"/>
        </w:rPr>
      </w:pPr>
      <w:r>
        <w:rPr>
          <w:rFonts w:ascii="Times New Roman" w:hAnsi="Times New Roman" w:cs="Times New Roman"/>
          <w:lang w:val="en-US"/>
        </w:rPr>
        <w:br w:type="page"/>
      </w:r>
      <w:r w:rsidR="00951ADC">
        <w:rPr>
          <w:rFonts w:ascii="Times New Roman" w:hAnsi="Times New Roman" w:cs="Times New Roman"/>
          <w:lang w:val="en-US"/>
        </w:rPr>
        <w:lastRenderedPageBreak/>
        <w:tab/>
      </w:r>
    </w:p>
    <w:p w14:paraId="7596255B" w14:textId="3BB992C3" w:rsidR="00001287" w:rsidRPr="002D3962" w:rsidRDefault="00001287" w:rsidP="002D3962">
      <w:pPr>
        <w:spacing w:after="0" w:line="240" w:lineRule="auto"/>
        <w:rPr>
          <w:lang w:val="en-US"/>
        </w:rPr>
      </w:pPr>
      <w:r w:rsidRPr="00001287">
        <w:rPr>
          <w:rFonts w:ascii="Times New Roman" w:hAnsi="Times New Roman" w:cs="Times New Roman"/>
          <w:b/>
          <w:bCs/>
          <w:lang w:val="en-US"/>
        </w:rPr>
        <w:t>References</w:t>
      </w:r>
    </w:p>
    <w:p w14:paraId="38034EFE" w14:textId="77777777" w:rsidR="00001287" w:rsidRDefault="00001287" w:rsidP="00001287">
      <w:pPr>
        <w:rPr>
          <w:rFonts w:ascii="Times New Roman" w:hAnsi="Times New Roman" w:cs="Times New Roman"/>
          <w:lang w:val="en-US"/>
        </w:rPr>
      </w:pPr>
    </w:p>
    <w:p w14:paraId="552E0C75" w14:textId="77777777" w:rsidR="002B7FC0" w:rsidRPr="002B7FC0" w:rsidRDefault="00001287" w:rsidP="002B7FC0">
      <w:pPr>
        <w:pStyle w:val="EndNoteBibliography"/>
        <w:spacing w:after="0"/>
        <w:ind w:left="720" w:hanging="720"/>
      </w:pPr>
      <w:r>
        <w:rPr>
          <w:rFonts w:ascii="Times New Roman" w:hAnsi="Times New Roman" w:cs="Times New Roman"/>
        </w:rPr>
        <w:fldChar w:fldCharType="begin"/>
      </w:r>
      <w:r>
        <w:rPr>
          <w:rFonts w:ascii="Times New Roman" w:hAnsi="Times New Roman" w:cs="Times New Roman"/>
        </w:rPr>
        <w:instrText xml:space="preserve"> ADDIN EN.REFLIST </w:instrText>
      </w:r>
      <w:r>
        <w:rPr>
          <w:rFonts w:ascii="Times New Roman" w:hAnsi="Times New Roman" w:cs="Times New Roman"/>
        </w:rPr>
        <w:fldChar w:fldCharType="separate"/>
      </w:r>
      <w:r w:rsidR="002B7FC0" w:rsidRPr="002B7FC0">
        <w:t xml:space="preserve">Ansari, Z., Carson, N. J., Ackland, M. J., Vaughan, L., &amp; Serraglio, A. (2003). A public health model of the social determinants of health. </w:t>
      </w:r>
      <w:r w:rsidR="002B7FC0" w:rsidRPr="002B7FC0">
        <w:rPr>
          <w:i/>
        </w:rPr>
        <w:t>Sozial-und Präventivmedizin/Social and Preventive Medicine</w:t>
      </w:r>
      <w:r w:rsidR="002B7FC0" w:rsidRPr="002B7FC0">
        <w:t>,</w:t>
      </w:r>
      <w:r w:rsidR="002B7FC0" w:rsidRPr="002B7FC0">
        <w:rPr>
          <w:i/>
        </w:rPr>
        <w:t xml:space="preserve"> 48</w:t>
      </w:r>
      <w:r w:rsidR="002B7FC0" w:rsidRPr="002B7FC0">
        <w:t xml:space="preserve">, 242-251. </w:t>
      </w:r>
    </w:p>
    <w:p w14:paraId="06D8E685" w14:textId="77777777" w:rsidR="002B7FC0" w:rsidRPr="002B7FC0" w:rsidRDefault="002B7FC0" w:rsidP="002B7FC0">
      <w:pPr>
        <w:pStyle w:val="EndNoteBibliography"/>
        <w:spacing w:after="0"/>
        <w:ind w:left="720" w:hanging="720"/>
      </w:pPr>
      <w:r w:rsidRPr="002B7FC0">
        <w:t xml:space="preserve">Braveman, P., Egerter, S., &amp; Williams, D. R. (2011). The social determinants of health: coming of age. </w:t>
      </w:r>
      <w:r w:rsidRPr="002B7FC0">
        <w:rPr>
          <w:i/>
        </w:rPr>
        <w:t>Annual review of public health</w:t>
      </w:r>
      <w:r w:rsidRPr="002B7FC0">
        <w:t>,</w:t>
      </w:r>
      <w:r w:rsidRPr="002B7FC0">
        <w:rPr>
          <w:i/>
        </w:rPr>
        <w:t xml:space="preserve"> 32</w:t>
      </w:r>
      <w:r w:rsidRPr="002B7FC0">
        <w:t xml:space="preserve">(1), 381-398. </w:t>
      </w:r>
    </w:p>
    <w:p w14:paraId="05C57DF2" w14:textId="3C4357A2" w:rsidR="002B7FC0" w:rsidRPr="002B7FC0" w:rsidRDefault="002B7FC0" w:rsidP="002B7FC0">
      <w:pPr>
        <w:pStyle w:val="EndNoteBibliography"/>
        <w:spacing w:after="0"/>
        <w:ind w:left="720" w:hanging="720"/>
      </w:pPr>
      <w:r w:rsidRPr="002B7FC0">
        <w:t xml:space="preserve">Braveman, P., &amp; Gottlieb, L. (2014). The social determinants of health: it's time to consider the causes of the causes. </w:t>
      </w:r>
      <w:r w:rsidRPr="002B7FC0">
        <w:rPr>
          <w:i/>
        </w:rPr>
        <w:t>Public Health Rep</w:t>
      </w:r>
      <w:r w:rsidRPr="002B7FC0">
        <w:t>,</w:t>
      </w:r>
      <w:r w:rsidRPr="002B7FC0">
        <w:rPr>
          <w:i/>
        </w:rPr>
        <w:t xml:space="preserve"> 129 Suppl 2</w:t>
      </w:r>
      <w:r w:rsidRPr="002B7FC0">
        <w:t xml:space="preserve">(Suppl 2), 19-31. </w:t>
      </w:r>
      <w:hyperlink r:id="rId6" w:history="1">
        <w:r w:rsidRPr="002B7FC0">
          <w:rPr>
            <w:rStyle w:val="Hyperlink"/>
          </w:rPr>
          <w:t>https://doi.org/10.1177/00333549141291s206</w:t>
        </w:r>
      </w:hyperlink>
      <w:r w:rsidRPr="002B7FC0">
        <w:t xml:space="preserve"> </w:t>
      </w:r>
    </w:p>
    <w:p w14:paraId="70843CC7" w14:textId="77777777" w:rsidR="002B7FC0" w:rsidRPr="002B7FC0" w:rsidRDefault="002B7FC0" w:rsidP="002B7FC0">
      <w:pPr>
        <w:pStyle w:val="EndNoteBibliography"/>
        <w:spacing w:after="0"/>
        <w:ind w:left="720" w:hanging="720"/>
      </w:pPr>
      <w:r w:rsidRPr="002B7FC0">
        <w:t xml:space="preserve">Daw, J., Margolis, R., &amp; Wright, L. (2017). Emerging adulthood, emergent health lifestyles: Sociodemographic determinants of trajectories of smoking, binge drinking, obesity, and sedentary behavior. </w:t>
      </w:r>
      <w:r w:rsidRPr="002B7FC0">
        <w:rPr>
          <w:i/>
        </w:rPr>
        <w:t>Journal of health and social behavior</w:t>
      </w:r>
      <w:r w:rsidRPr="002B7FC0">
        <w:t>,</w:t>
      </w:r>
      <w:r w:rsidRPr="002B7FC0">
        <w:rPr>
          <w:i/>
        </w:rPr>
        <w:t xml:space="preserve"> 58</w:t>
      </w:r>
      <w:r w:rsidRPr="002B7FC0">
        <w:t xml:space="preserve">(2), 181-197. </w:t>
      </w:r>
    </w:p>
    <w:p w14:paraId="0D7E27FA" w14:textId="77777777" w:rsidR="002B7FC0" w:rsidRPr="002B7FC0" w:rsidRDefault="002B7FC0" w:rsidP="002B7FC0">
      <w:pPr>
        <w:pStyle w:val="EndNoteBibliography"/>
        <w:spacing w:after="0"/>
        <w:ind w:left="720" w:hanging="720"/>
      </w:pPr>
      <w:r w:rsidRPr="002B7FC0">
        <w:t xml:space="preserve">Garfin, D. R., Thompson, R. R., &amp; Holman, E. A. (2018). Acute stress and subsequent health outcomes: A systematic review. </w:t>
      </w:r>
      <w:r w:rsidRPr="002B7FC0">
        <w:rPr>
          <w:i/>
        </w:rPr>
        <w:t>Journal of psychosomatic research</w:t>
      </w:r>
      <w:r w:rsidRPr="002B7FC0">
        <w:t>,</w:t>
      </w:r>
      <w:r w:rsidRPr="002B7FC0">
        <w:rPr>
          <w:i/>
        </w:rPr>
        <w:t xml:space="preserve"> 112</w:t>
      </w:r>
      <w:r w:rsidRPr="002B7FC0">
        <w:t xml:space="preserve">, 107-113. </w:t>
      </w:r>
    </w:p>
    <w:p w14:paraId="0B5E5133" w14:textId="77777777" w:rsidR="002B7FC0" w:rsidRPr="002B7FC0" w:rsidRDefault="002B7FC0" w:rsidP="002B7FC0">
      <w:pPr>
        <w:pStyle w:val="EndNoteBibliography"/>
        <w:spacing w:after="0"/>
        <w:ind w:left="720" w:hanging="720"/>
      </w:pPr>
      <w:r w:rsidRPr="002B7FC0">
        <w:t xml:space="preserve">Janlert, U. (1997). Unemployment as a disease and diseases of the unemployed. </w:t>
      </w:r>
      <w:r w:rsidRPr="002B7FC0">
        <w:rPr>
          <w:i/>
        </w:rPr>
        <w:t>Scandinavian journal of work, environment &amp; health</w:t>
      </w:r>
      <w:r w:rsidRPr="002B7FC0">
        <w:t xml:space="preserve">, 79-83. </w:t>
      </w:r>
    </w:p>
    <w:p w14:paraId="74A645AB" w14:textId="77777777" w:rsidR="002B7FC0" w:rsidRPr="002B7FC0" w:rsidRDefault="002B7FC0" w:rsidP="002B7FC0">
      <w:pPr>
        <w:pStyle w:val="EndNoteBibliography"/>
        <w:spacing w:after="0"/>
        <w:ind w:left="720" w:hanging="720"/>
      </w:pPr>
      <w:r w:rsidRPr="002B7FC0">
        <w:t>Jiao, L. (2024). Social Determinants of Health, Diet, and Health Outcome. In (Vol. 16, pp. 3642): MDPI.</w:t>
      </w:r>
    </w:p>
    <w:p w14:paraId="081E4AFC" w14:textId="77777777" w:rsidR="002B7FC0" w:rsidRPr="002B7FC0" w:rsidRDefault="002B7FC0" w:rsidP="002B7FC0">
      <w:pPr>
        <w:pStyle w:val="EndNoteBibliography"/>
        <w:spacing w:after="0"/>
        <w:ind w:left="720" w:hanging="720"/>
      </w:pPr>
      <w:r w:rsidRPr="002B7FC0">
        <w:t xml:space="preserve">Kaiser, M., Reutter, M., Sousa-Poza, A., &amp; Strohmaier, K. (2018). Smoking and local unemployment: evidence from Germany. </w:t>
      </w:r>
      <w:r w:rsidRPr="002B7FC0">
        <w:rPr>
          <w:i/>
        </w:rPr>
        <w:t>Economics &amp; Human Biology</w:t>
      </w:r>
      <w:r w:rsidRPr="002B7FC0">
        <w:t>,</w:t>
      </w:r>
      <w:r w:rsidRPr="002B7FC0">
        <w:rPr>
          <w:i/>
        </w:rPr>
        <w:t xml:space="preserve"> 29</w:t>
      </w:r>
      <w:r w:rsidRPr="002B7FC0">
        <w:t xml:space="preserve">, 138-147. </w:t>
      </w:r>
    </w:p>
    <w:p w14:paraId="0D250CDC" w14:textId="77777777" w:rsidR="002B7FC0" w:rsidRPr="002B7FC0" w:rsidRDefault="002B7FC0" w:rsidP="002B7FC0">
      <w:pPr>
        <w:pStyle w:val="EndNoteBibliography"/>
        <w:spacing w:after="0"/>
        <w:ind w:left="720" w:hanging="720"/>
      </w:pPr>
      <w:r w:rsidRPr="002B7FC0">
        <w:t xml:space="preserve">Marmot, M., Friel, S., Bell, R., Houweling, T. A., &amp; Taylor, S. (2008). Closing the gap in a generation: health equity through action on the social determinants of health. </w:t>
      </w:r>
      <w:r w:rsidRPr="002B7FC0">
        <w:rPr>
          <w:i/>
        </w:rPr>
        <w:t>The lancet</w:t>
      </w:r>
      <w:r w:rsidRPr="002B7FC0">
        <w:t>,</w:t>
      </w:r>
      <w:r w:rsidRPr="002B7FC0">
        <w:rPr>
          <w:i/>
        </w:rPr>
        <w:t xml:space="preserve"> 372</w:t>
      </w:r>
      <w:r w:rsidRPr="002B7FC0">
        <w:t xml:space="preserve">(9650), 1661-1669. </w:t>
      </w:r>
    </w:p>
    <w:p w14:paraId="16F7C255" w14:textId="1D1CE69A" w:rsidR="002B7FC0" w:rsidRPr="002B7FC0" w:rsidRDefault="002B7FC0" w:rsidP="002B7FC0">
      <w:pPr>
        <w:pStyle w:val="EndNoteBibliography"/>
        <w:spacing w:after="0"/>
        <w:ind w:left="720" w:hanging="720"/>
      </w:pPr>
      <w:r w:rsidRPr="002B7FC0">
        <w:t xml:space="preserve">Marmot, M. G., Smith, G. D., Stansfeld, S., Patel, C., North, F., Head, J., White, I., Brunner, E., &amp; Feeney, A. (1991). Health inequalities among British civil servants: the Whitehall II study. </w:t>
      </w:r>
      <w:r w:rsidRPr="002B7FC0">
        <w:rPr>
          <w:i/>
        </w:rPr>
        <w:t>Lancet</w:t>
      </w:r>
      <w:r w:rsidRPr="002B7FC0">
        <w:t>,</w:t>
      </w:r>
      <w:r w:rsidRPr="002B7FC0">
        <w:rPr>
          <w:i/>
        </w:rPr>
        <w:t xml:space="preserve"> 337</w:t>
      </w:r>
      <w:r w:rsidRPr="002B7FC0">
        <w:t xml:space="preserve">(8754), 1387-1393. </w:t>
      </w:r>
      <w:hyperlink r:id="rId7" w:history="1">
        <w:r w:rsidRPr="002B7FC0">
          <w:rPr>
            <w:rStyle w:val="Hyperlink"/>
          </w:rPr>
          <w:t>https://doi.org/10.1016/0140-6736(91)93068-k</w:t>
        </w:r>
      </w:hyperlink>
      <w:r w:rsidRPr="002B7FC0">
        <w:t xml:space="preserve"> </w:t>
      </w:r>
    </w:p>
    <w:p w14:paraId="38758A15" w14:textId="77777777" w:rsidR="002B7FC0" w:rsidRPr="002B7FC0" w:rsidRDefault="002B7FC0" w:rsidP="002B7FC0">
      <w:pPr>
        <w:pStyle w:val="EndNoteBibliography"/>
        <w:ind w:left="720" w:hanging="720"/>
      </w:pPr>
      <w:r w:rsidRPr="002B7FC0">
        <w:t xml:space="preserve">Taylor, S. E. (2010). Mechanisms linking early life stress to adult health outcomes. </w:t>
      </w:r>
      <w:r w:rsidRPr="002B7FC0">
        <w:rPr>
          <w:i/>
        </w:rPr>
        <w:t>Proceedings of the National Academy of Sciences</w:t>
      </w:r>
      <w:r w:rsidRPr="002B7FC0">
        <w:t>,</w:t>
      </w:r>
      <w:r w:rsidRPr="002B7FC0">
        <w:rPr>
          <w:i/>
        </w:rPr>
        <w:t xml:space="preserve"> 107</w:t>
      </w:r>
      <w:r w:rsidRPr="002B7FC0">
        <w:t xml:space="preserve">(19), 8507-8512. </w:t>
      </w:r>
    </w:p>
    <w:p w14:paraId="7518DF8C" w14:textId="6CB35FF7" w:rsidR="00001287" w:rsidRDefault="00001287" w:rsidP="00001287">
      <w:pPr>
        <w:rPr>
          <w:rFonts w:ascii="Times New Roman" w:hAnsi="Times New Roman" w:cs="Times New Roman"/>
          <w:lang w:val="en-US"/>
        </w:rPr>
      </w:pPr>
      <w:r>
        <w:rPr>
          <w:rFonts w:ascii="Times New Roman" w:hAnsi="Times New Roman" w:cs="Times New Roman"/>
          <w:lang w:val="en-US"/>
        </w:rPr>
        <w:fldChar w:fldCharType="end"/>
      </w:r>
    </w:p>
    <w:sectPr w:rsidR="0000128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sDA1sDQ1MjQwNbcwM7NQ0lEKTi0uzszPAykwrAUAcj54+ywAAAA="/>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fa5efddnp05teeps525ewxdrtpvfdat9zwt&quot;&gt;My EndNote Library&lt;record-ids&gt;&lt;item&gt;123&lt;/item&gt;&lt;item&gt;124&lt;/item&gt;&lt;item&gt;125&lt;/item&gt;&lt;item&gt;128&lt;/item&gt;&lt;item&gt;130&lt;/item&gt;&lt;item&gt;131&lt;/item&gt;&lt;item&gt;132&lt;/item&gt;&lt;item&gt;135&lt;/item&gt;&lt;item&gt;136&lt;/item&gt;&lt;item&gt;138&lt;/item&gt;&lt;item&gt;139&lt;/item&gt;&lt;/record-ids&gt;&lt;/item&gt;&lt;/Libraries&gt;"/>
  </w:docVars>
  <w:rsids>
    <w:rsidRoot w:val="00001287"/>
    <w:rsid w:val="00001287"/>
    <w:rsid w:val="00106B74"/>
    <w:rsid w:val="00132A24"/>
    <w:rsid w:val="002B7FC0"/>
    <w:rsid w:val="002D3962"/>
    <w:rsid w:val="005D0025"/>
    <w:rsid w:val="007B493F"/>
    <w:rsid w:val="007C02CD"/>
    <w:rsid w:val="007E22F8"/>
    <w:rsid w:val="008151BB"/>
    <w:rsid w:val="00902BD0"/>
    <w:rsid w:val="00903EA3"/>
    <w:rsid w:val="00951ADC"/>
    <w:rsid w:val="00A77CC5"/>
    <w:rsid w:val="00BF3464"/>
    <w:rsid w:val="00C94ADB"/>
    <w:rsid w:val="00D54D28"/>
    <w:rsid w:val="00EC453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47"/>
    <o:shapelayout v:ext="edit">
      <o:idmap v:ext="edit" data="1"/>
      <o:rules v:ext="edit">
        <o:r id="V:Rule1" type="connector" idref="#Straight Arrow Connector 19"/>
        <o:r id="V:Rule2" type="connector" idref="#Straight Arrow Connector 36"/>
        <o:r id="V:Rule3" type="connector" idref="#Straight Arrow Connector 17"/>
        <o:r id="V:Rule4" type="connector" idref="#Straight Arrow Connector 27"/>
        <o:r id="V:Rule5" type="connector" idref="#Straight Arrow Connector 15"/>
        <o:r id="V:Rule6" type="connector" idref="#Straight Arrow Connector 16"/>
        <o:r id="V:Rule7" type="connector" idref="#Straight Arrow Connector 35"/>
        <o:r id="V:Rule8" type="connector" idref="#Straight Arrow Connector 14"/>
      </o:rules>
    </o:shapelayout>
  </w:shapeDefaults>
  <w:decimalSymbol w:val=","/>
  <w:listSeparator w:val=";"/>
  <w14:docId w14:val="2B25975D"/>
  <w15:chartTrackingRefBased/>
  <w15:docId w15:val="{0A40AADB-58B5-4C56-8860-9BD95E8CA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12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12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12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12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12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12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12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12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12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2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12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12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12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12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12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12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12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1287"/>
    <w:rPr>
      <w:rFonts w:eastAsiaTheme="majorEastAsia" w:cstheme="majorBidi"/>
      <w:color w:val="272727" w:themeColor="text1" w:themeTint="D8"/>
    </w:rPr>
  </w:style>
  <w:style w:type="paragraph" w:styleId="Title">
    <w:name w:val="Title"/>
    <w:basedOn w:val="Normal"/>
    <w:next w:val="Normal"/>
    <w:link w:val="TitleChar"/>
    <w:uiPriority w:val="10"/>
    <w:qFormat/>
    <w:rsid w:val="000012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2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12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12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1287"/>
    <w:pPr>
      <w:spacing w:before="160"/>
      <w:jc w:val="center"/>
    </w:pPr>
    <w:rPr>
      <w:i/>
      <w:iCs/>
      <w:color w:val="404040" w:themeColor="text1" w:themeTint="BF"/>
    </w:rPr>
  </w:style>
  <w:style w:type="character" w:customStyle="1" w:styleId="QuoteChar">
    <w:name w:val="Quote Char"/>
    <w:basedOn w:val="DefaultParagraphFont"/>
    <w:link w:val="Quote"/>
    <w:uiPriority w:val="29"/>
    <w:rsid w:val="00001287"/>
    <w:rPr>
      <w:i/>
      <w:iCs/>
      <w:color w:val="404040" w:themeColor="text1" w:themeTint="BF"/>
    </w:rPr>
  </w:style>
  <w:style w:type="paragraph" w:styleId="ListParagraph">
    <w:name w:val="List Paragraph"/>
    <w:basedOn w:val="Normal"/>
    <w:uiPriority w:val="34"/>
    <w:qFormat/>
    <w:rsid w:val="00001287"/>
    <w:pPr>
      <w:ind w:left="720"/>
      <w:contextualSpacing/>
    </w:pPr>
  </w:style>
  <w:style w:type="character" w:styleId="IntenseEmphasis">
    <w:name w:val="Intense Emphasis"/>
    <w:basedOn w:val="DefaultParagraphFont"/>
    <w:uiPriority w:val="21"/>
    <w:qFormat/>
    <w:rsid w:val="00001287"/>
    <w:rPr>
      <w:i/>
      <w:iCs/>
      <w:color w:val="2F5496" w:themeColor="accent1" w:themeShade="BF"/>
    </w:rPr>
  </w:style>
  <w:style w:type="paragraph" w:styleId="IntenseQuote">
    <w:name w:val="Intense Quote"/>
    <w:basedOn w:val="Normal"/>
    <w:next w:val="Normal"/>
    <w:link w:val="IntenseQuoteChar"/>
    <w:uiPriority w:val="30"/>
    <w:qFormat/>
    <w:rsid w:val="000012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1287"/>
    <w:rPr>
      <w:i/>
      <w:iCs/>
      <w:color w:val="2F5496" w:themeColor="accent1" w:themeShade="BF"/>
    </w:rPr>
  </w:style>
  <w:style w:type="character" w:styleId="IntenseReference">
    <w:name w:val="Intense Reference"/>
    <w:basedOn w:val="DefaultParagraphFont"/>
    <w:uiPriority w:val="32"/>
    <w:qFormat/>
    <w:rsid w:val="00001287"/>
    <w:rPr>
      <w:b/>
      <w:bCs/>
      <w:smallCaps/>
      <w:color w:val="2F5496" w:themeColor="accent1" w:themeShade="BF"/>
      <w:spacing w:val="5"/>
    </w:rPr>
  </w:style>
  <w:style w:type="paragraph" w:customStyle="1" w:styleId="EndNoteBibliographyTitle">
    <w:name w:val="EndNote Bibliography Title"/>
    <w:basedOn w:val="Normal"/>
    <w:link w:val="EndNoteBibliographyTitleChar"/>
    <w:rsid w:val="00001287"/>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001287"/>
    <w:rPr>
      <w:rFonts w:ascii="Calibri" w:hAnsi="Calibri" w:cs="Calibri"/>
      <w:noProof/>
      <w:lang w:val="en-US"/>
    </w:rPr>
  </w:style>
  <w:style w:type="paragraph" w:customStyle="1" w:styleId="EndNoteBibliography">
    <w:name w:val="EndNote Bibliography"/>
    <w:basedOn w:val="Normal"/>
    <w:link w:val="EndNoteBibliographyChar"/>
    <w:rsid w:val="00001287"/>
    <w:pPr>
      <w:spacing w:line="240" w:lineRule="auto"/>
    </w:pPr>
    <w:rPr>
      <w:rFonts w:ascii="Calibri" w:hAnsi="Calibri" w:cs="Calibri"/>
      <w:noProof/>
      <w:lang w:val="en-US"/>
    </w:rPr>
  </w:style>
  <w:style w:type="character" w:customStyle="1" w:styleId="EndNoteBibliographyChar">
    <w:name w:val="EndNote Bibliography Char"/>
    <w:basedOn w:val="DefaultParagraphFont"/>
    <w:link w:val="EndNoteBibliography"/>
    <w:rsid w:val="00001287"/>
    <w:rPr>
      <w:rFonts w:ascii="Calibri" w:hAnsi="Calibri" w:cs="Calibri"/>
      <w:noProof/>
      <w:lang w:val="en-US"/>
    </w:rPr>
  </w:style>
  <w:style w:type="character" w:styleId="Hyperlink">
    <w:name w:val="Hyperlink"/>
    <w:basedOn w:val="DefaultParagraphFont"/>
    <w:uiPriority w:val="99"/>
    <w:unhideWhenUsed/>
    <w:rsid w:val="00001287"/>
    <w:rPr>
      <w:color w:val="0563C1" w:themeColor="hyperlink"/>
      <w:u w:val="single"/>
    </w:rPr>
  </w:style>
  <w:style w:type="character" w:styleId="UnresolvedMention">
    <w:name w:val="Unresolved Mention"/>
    <w:basedOn w:val="DefaultParagraphFont"/>
    <w:uiPriority w:val="99"/>
    <w:semiHidden/>
    <w:unhideWhenUsed/>
    <w:rsid w:val="000012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oi.org/10.1016/0140-6736(91)93068-k"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177/00333549141291s206" TargetMode="External"/><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3141</Words>
  <Characters>17277</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Finn Mikkers</dc:creator>
  <cp:keywords/>
  <dc:description/>
  <cp:lastModifiedBy>Finn Mikkers</cp:lastModifiedBy>
  <cp:revision>1</cp:revision>
  <dcterms:created xsi:type="dcterms:W3CDTF">2025-04-07T14:25:00Z</dcterms:created>
  <dcterms:modified xsi:type="dcterms:W3CDTF">2025-04-08T09:42:00Z</dcterms:modified>
</cp:coreProperties>
</file>