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non-disclosure-agreement"/>
    <w:p>
      <w:pPr>
        <w:pStyle w:val="Heading1"/>
      </w:pPr>
      <w:r>
        <w:t xml:space="preserve">NON-DISCLOSURE AGREEMENT</w:t>
      </w:r>
    </w:p>
    <w:p>
      <w:r>
        <w:pict>
          <v:rect style="width:0;height:1.5pt" o:hralign="center" o:hrstd="t" o:hr="t"/>
        </w:pict>
      </w:r>
    </w:p>
    <w:bookmarkStart w:id="38" w:name="drafting-notes"/>
    <w:p>
      <w:pPr>
        <w:pStyle w:val="Heading2"/>
      </w:pPr>
      <w:r>
        <w:t xml:space="preserve">Drafting Notes</w:t>
      </w:r>
    </w:p>
    <w:p>
      <w:pPr>
        <w:pStyle w:val="FirstParagraph"/>
      </w:pPr>
      <w:r>
        <w:t xml:space="preserve">This document is drafted as a</w:t>
      </w:r>
      <w:r>
        <w:t xml:space="preserve"> </w:t>
      </w:r>
      <w:r>
        <w:rPr>
          <w:bCs/>
          <w:b/>
        </w:rPr>
        <w:t xml:space="preserve">one-way (unilateral) non-disclosure agreement</w:t>
      </w:r>
      <w:r>
        <w:t xml:space="preserve"> </w:t>
      </w:r>
      <w:r>
        <w:t xml:space="preserve">primarily protecting Dish N Dash as the disclosing party. It is intended for use when Dish N Dash shares confidential business, technical, financial, strategic, or operational information with external third parties — including software agencies, freelance developers, design consultants, legal advisors, service providers, contractors, and other external partners — in connection with project-related engagements. Before execution, local counsel should review and localize the following provisions: governing law and jurisdiction (Clause 16), the confidentiality survival period (Clause 12), enforceability of injunctive relief provisions under applicable law (Clause 13), and any regulatory requirements specific to the Kingdom of Saudi Arabia or the receiving party’s jurisdiction that may affect data handling, non-circumvention, or intellectual property provisions. Bracketed placeholders must be completed prior to signature.</w:t>
      </w:r>
    </w:p>
    <w:p>
      <w:r>
        <w:pict>
          <v:rect style="width:0;height:1.5pt" o:hralign="center" o:hrstd="t" o:hr="t"/>
        </w:pict>
      </w:r>
    </w:p>
    <w:p>
      <w:pPr>
        <w:pStyle w:val="FirstParagraph"/>
      </w:pPr>
      <w:r>
        <w:rPr>
          <w:bCs/>
          <w:b/>
        </w:rPr>
        <w:t xml:space="preserve">NON-DISCLOSURE AGREEMENT</w:t>
      </w:r>
    </w:p>
    <w:p>
      <w:pPr>
        <w:pStyle w:val="BodyText"/>
      </w:pPr>
      <w:r>
        <w:t xml:space="preserve">This Non-Disclosure Agreement (this</w:t>
      </w:r>
      <w:r>
        <w:t xml:space="preserve"> </w:t>
      </w:r>
      <w:r>
        <w:rPr>
          <w:bCs/>
          <w:b/>
        </w:rPr>
        <w:t xml:space="preserve">“</w:t>
      </w:r>
      <w:r>
        <w:rPr>
          <w:bCs/>
          <w:b/>
        </w:rPr>
        <w:t xml:space="preserve">Agreement</w:t>
      </w:r>
      <w:r>
        <w:rPr>
          <w:bCs/>
          <w:b/>
        </w:rPr>
        <w:t xml:space="preserve">”</w:t>
      </w:r>
      <w:r>
        <w:t xml:space="preserve">) is entered into as of [Effective Date] (the</w:t>
      </w:r>
      <w:r>
        <w:t xml:space="preserve"> </w:t>
      </w:r>
      <w:r>
        <w:rPr>
          <w:bCs/>
          <w:b/>
        </w:rPr>
        <w:t xml:space="preserve">“</w:t>
      </w:r>
      <w:r>
        <w:rPr>
          <w:bCs/>
          <w:b/>
        </w:rPr>
        <w:t xml:space="preserve">Effective Date</w:t>
      </w:r>
      <w:r>
        <w:rPr>
          <w:bCs/>
          <w:b/>
        </w:rPr>
        <w:t xml:space="preserve">”</w:t>
      </w:r>
      <w:r>
        <w:t xml:space="preserve">) by and between:</w:t>
      </w:r>
    </w:p>
    <w:p>
      <w:pPr>
        <w:pStyle w:val="BodyText"/>
      </w:pPr>
      <w:r>
        <w:rPr>
          <w:bCs/>
          <w:b/>
        </w:rPr>
        <w:t xml:space="preserve">Disclosing Party:</w:t>
      </w:r>
      <w:r>
        <w:t xml:space="preserve"> </w:t>
      </w:r>
      <w:r>
        <w:t xml:space="preserve">Dish N Dash, [legal entity type and registration details], a company organized and existing under the laws of the Kingdom of Saudi Arabia, with its principal office at [Address]</w:t>
      </w:r>
      <w:r>
        <w:t xml:space="preserve"> </w:t>
      </w:r>
      <w:r>
        <w:t xml:space="preserve">(hereinafter referred to as</w:t>
      </w:r>
      <w:r>
        <w:t xml:space="preserve"> </w:t>
      </w:r>
      <w:r>
        <w:rPr>
          <w:bCs/>
          <w:b/>
        </w:rPr>
        <w:t xml:space="preserve">“</w:t>
      </w:r>
      <w:r>
        <w:rPr>
          <w:bCs/>
          <w:b/>
        </w:rPr>
        <w:t xml:space="preserve">Dish N Dash</w:t>
      </w:r>
      <w:r>
        <w:rPr>
          <w:bCs/>
          <w:b/>
        </w:rPr>
        <w:t xml:space="preserve">”</w:t>
      </w:r>
      <w:r>
        <w:t xml:space="preserve"> </w:t>
      </w:r>
      <w:r>
        <w:t xml:space="preserve">or the</w:t>
      </w:r>
      <w:r>
        <w:t xml:space="preserve"> </w:t>
      </w:r>
      <w:r>
        <w:rPr>
          <w:bCs/>
          <w:b/>
        </w:rPr>
        <w:t xml:space="preserve">“</w:t>
      </w:r>
      <w:r>
        <w:rPr>
          <w:bCs/>
          <w:b/>
        </w:rPr>
        <w:t xml:space="preserve">Disclosing Party</w:t>
      </w:r>
      <w:r>
        <w:rPr>
          <w:bCs/>
          <w:b/>
        </w:rPr>
        <w:t xml:space="preserve">”</w:t>
      </w:r>
      <w:r>
        <w:t xml:space="preserve">)</w:t>
      </w:r>
    </w:p>
    <w:p>
      <w:pPr>
        <w:pStyle w:val="BodyText"/>
      </w:pPr>
      <w:r>
        <w:t xml:space="preserve">and</w:t>
      </w:r>
    </w:p>
    <w:p>
      <w:pPr>
        <w:pStyle w:val="BodyText"/>
      </w:pPr>
      <w:r>
        <w:rPr>
          <w:bCs/>
          <w:b/>
        </w:rPr>
        <w:t xml:space="preserve">Receiving Party:</w:t>
      </w:r>
      <w:r>
        <w:t xml:space="preserve"> </w:t>
      </w:r>
      <w:r>
        <w:t xml:space="preserve">[Receiving Party Full Legal Name], [legal entity type], organized and existing under the laws of [Jurisdiction], with its principal office at [Address]</w:t>
      </w:r>
      <w:r>
        <w:t xml:space="preserve"> </w:t>
      </w:r>
      <w:r>
        <w:t xml:space="preserve">(hereinafter referred to as the</w:t>
      </w:r>
      <w:r>
        <w:t xml:space="preserve"> </w:t>
      </w:r>
      <w:r>
        <w:rPr>
          <w:bCs/>
          <w:b/>
        </w:rPr>
        <w:t xml:space="preserve">“</w:t>
      </w:r>
      <w:r>
        <w:rPr>
          <w:bCs/>
          <w:b/>
        </w:rPr>
        <w:t xml:space="preserve">Receiving Party</w:t>
      </w:r>
      <w:r>
        <w:rPr>
          <w:bCs/>
          <w:b/>
        </w:rPr>
        <w:t xml:space="preserve">”</w:t>
      </w:r>
      <w:r>
        <w:t xml:space="preserve">)</w:t>
      </w:r>
    </w:p>
    <w:p>
      <w:pPr>
        <w:pStyle w:val="BodyText"/>
      </w:pPr>
      <w:r>
        <w:t xml:space="preserve">Each individually a</w:t>
      </w:r>
      <w:r>
        <w:t xml:space="preserve"> </w:t>
      </w:r>
      <w:r>
        <w:rPr>
          <w:bCs/>
          <w:b/>
        </w:rPr>
        <w:t xml:space="preserve">“</w:t>
      </w:r>
      <w:r>
        <w:rPr>
          <w:bCs/>
          <w:b/>
        </w:rPr>
        <w:t xml:space="preserve">Party</w:t>
      </w:r>
      <w:r>
        <w:rPr>
          <w:bCs/>
          <w:b/>
        </w:rPr>
        <w:t xml:space="preserve">”</w:t>
      </w:r>
      <w:r>
        <w:t xml:space="preserve"> </w:t>
      </w:r>
      <w:r>
        <w:t xml:space="preserve">and collectively the</w:t>
      </w:r>
      <w:r>
        <w:t xml:space="preserve"> </w:t>
      </w:r>
      <w:r>
        <w:rPr>
          <w:bCs/>
          <w:b/>
        </w:rPr>
        <w:t xml:space="preserve">“</w:t>
      </w:r>
      <w:r>
        <w:rPr>
          <w:bCs/>
          <w:b/>
        </w:rPr>
        <w:t xml:space="preserve">Parties.</w:t>
      </w:r>
      <w:r>
        <w:rPr>
          <w:bCs/>
          <w:b/>
        </w:rPr>
        <w:t xml:space="preserve">”</w:t>
      </w:r>
    </w:p>
    <w:p>
      <w:r>
        <w:pict>
          <v:rect style="width:0;height:1.5pt" o:hralign="center" o:hrstd="t" o:hr="t"/>
        </w:pict>
      </w:r>
    </w:p>
    <w:bookmarkStart w:id="20" w:name="recitals"/>
    <w:p>
      <w:pPr>
        <w:pStyle w:val="Heading3"/>
      </w:pPr>
      <w:r>
        <w:t xml:space="preserve">RECITALS</w:t>
      </w:r>
    </w:p>
    <w:p>
      <w:pPr>
        <w:pStyle w:val="FirstParagraph"/>
      </w:pPr>
      <w:r>
        <w:rPr>
          <w:bCs/>
          <w:b/>
        </w:rPr>
        <w:t xml:space="preserve">WHEREAS</w:t>
      </w:r>
      <w:r>
        <w:t xml:space="preserve">, Dish N Dash is a Saudi-based B2B2C dining technology startup engaged in the development and commercialization of restaurant technology, diner-facing digital products, reservation systems, pre-ordering platforms, loyalty programs, operational analytics, and related technology solutions;</w:t>
      </w:r>
    </w:p>
    <w:p>
      <w:pPr>
        <w:pStyle w:val="BodyText"/>
      </w:pPr>
      <w:r>
        <w:rPr>
          <w:bCs/>
          <w:b/>
        </w:rPr>
        <w:t xml:space="preserve">WHEREAS</w:t>
      </w:r>
      <w:r>
        <w:t xml:space="preserve">, the Receiving Party provides [describe nature of services, e.g., software development, design, consulting, legal advisory, or other professional services] (the</w:t>
      </w:r>
      <w:r>
        <w:t xml:space="preserve"> </w:t>
      </w:r>
      <w:r>
        <w:rPr>
          <w:bCs/>
          <w:b/>
        </w:rPr>
        <w:t xml:space="preserve">“</w:t>
      </w:r>
      <w:r>
        <w:rPr>
          <w:bCs/>
          <w:b/>
        </w:rPr>
        <w:t xml:space="preserve">Services</w:t>
      </w:r>
      <w:r>
        <w:rPr>
          <w:bCs/>
          <w:b/>
        </w:rPr>
        <w:t xml:space="preserve">”</w:t>
      </w:r>
      <w:r>
        <w:t xml:space="preserve">);</w:t>
      </w:r>
    </w:p>
    <w:p>
      <w:pPr>
        <w:pStyle w:val="BodyText"/>
      </w:pPr>
      <w:r>
        <w:rPr>
          <w:bCs/>
          <w:b/>
        </w:rPr>
        <w:t xml:space="preserve">WHEREAS</w:t>
      </w:r>
      <w:r>
        <w:t xml:space="preserve">, in connection with the evaluation, negotiation, or performance of the Services, Dish N Dash may disclose to the Receiving Party certain confidential and proprietary information; and</w:t>
      </w:r>
    </w:p>
    <w:p>
      <w:pPr>
        <w:pStyle w:val="BodyText"/>
      </w:pPr>
      <w:r>
        <w:rPr>
          <w:bCs/>
          <w:b/>
        </w:rPr>
        <w:t xml:space="preserve">WHEREAS</w:t>
      </w:r>
      <w:r>
        <w:t xml:space="preserve">, the Parties wish to establish the terms under which such information shall be disclosed, received, handled, and protected.</w:t>
      </w:r>
    </w:p>
    <w:p>
      <w:pPr>
        <w:pStyle w:val="BodyText"/>
      </w:pPr>
      <w:r>
        <w:rPr>
          <w:bCs/>
          <w:b/>
        </w:rPr>
        <w:t xml:space="preserve">NOW, THEREFORE</w:t>
      </w:r>
      <w:r>
        <w:t xml:space="preserve">, in consideration of the mutual covenants herein and for other good and valuable consideration, the receipt and sufficiency of which are hereby acknowledged, the Parties agree as follows:</w:t>
      </w:r>
    </w:p>
    <w:p>
      <w:r>
        <w:pict>
          <v:rect style="width:0;height:1.5pt" o:hralign="center" o:hrstd="t" o:hr="t"/>
        </w:pict>
      </w:r>
    </w:p>
    <w:bookmarkEnd w:id="20"/>
    <w:bookmarkStart w:id="21" w:name="definitions"/>
    <w:p>
      <w:pPr>
        <w:pStyle w:val="Heading3"/>
      </w:pPr>
      <w:r>
        <w:t xml:space="preserve">1. DEFINITIONS</w:t>
      </w:r>
    </w:p>
    <w:p>
      <w:pPr>
        <w:pStyle w:val="FirstParagraph"/>
      </w:pPr>
      <w:r>
        <w:rPr>
          <w:bCs/>
          <w:b/>
        </w:rPr>
        <w:t xml:space="preserve">1.1</w:t>
      </w:r>
      <w:r>
        <w:rPr>
          <w:bCs/>
          <w:b/>
        </w:rPr>
        <w:t xml:space="preserve"> </w:t>
      </w:r>
      <w:r>
        <w:rPr>
          <w:bCs/>
          <w:b/>
        </w:rPr>
        <w:t xml:space="preserve">“</w:t>
      </w:r>
      <w:r>
        <w:rPr>
          <w:bCs/>
          <w:b/>
        </w:rPr>
        <w:t xml:space="preserve">Confidential Information</w:t>
      </w:r>
      <w:r>
        <w:rPr>
          <w:bCs/>
          <w:b/>
        </w:rPr>
        <w:t xml:space="preserve">”</w:t>
      </w:r>
      <w:r>
        <w:t xml:space="preserve"> </w:t>
      </w:r>
      <w:r>
        <w:t xml:space="preserve">means all information, in any form or medium, whether disclosed before or after the Effective Date, that is disclosed by or on behalf of Dish N Dash to the Receiving Party, or that the Receiving Party obtains, observes, or otherwise learns in connection with the Permitted Purpose, including without limitation:</w:t>
      </w:r>
    </w:p>
    <w:p>
      <w:pPr>
        <w:numPr>
          <w:ilvl w:val="0"/>
          <w:numId w:val="1001"/>
        </w:numPr>
      </w:pPr>
      <w:r>
        <w:rPr>
          <w:bCs/>
          <w:b/>
        </w:rPr>
        <w:t xml:space="preserve">Technical Information</w:t>
      </w:r>
      <w:r>
        <w:t xml:space="preserve">: source code, object code, software architecture, system designs, algorithms, APIs, data structures, database schemas, technical specifications, development environments, infrastructure configurations, security protocols, testing methodologies, deployment processes, and technology roadmaps;</w:t>
      </w:r>
    </w:p>
    <w:p>
      <w:pPr>
        <w:numPr>
          <w:ilvl w:val="0"/>
          <w:numId w:val="1001"/>
        </w:numPr>
      </w:pPr>
      <w:r>
        <w:rPr>
          <w:bCs/>
          <w:b/>
        </w:rPr>
        <w:t xml:space="preserve">Product Information</w:t>
      </w:r>
      <w:r>
        <w:t xml:space="preserve">: product concepts, features, functionality, wireframes, prototypes, user interface and user experience designs, product roadmaps, product strategy, feature prioritization, user flows, design systems, and product documentation;</w:t>
      </w:r>
    </w:p>
    <w:p>
      <w:pPr>
        <w:numPr>
          <w:ilvl w:val="0"/>
          <w:numId w:val="1001"/>
        </w:numPr>
      </w:pPr>
      <w:r>
        <w:rPr>
          <w:bCs/>
          <w:b/>
        </w:rPr>
        <w:t xml:space="preserve">Business and Commercial Information</w:t>
      </w:r>
      <w:r>
        <w:t xml:space="preserve">: business plans, business models, go-to-market strategies, launch strategies, growth plans, pricing logic, pricing models, revenue models, unit economics, commercial terms, partnership structures, vendor agreements, supplier arrangements, distribution strategies, competitive analyses, and market research;</w:t>
      </w:r>
    </w:p>
    <w:p>
      <w:pPr>
        <w:numPr>
          <w:ilvl w:val="0"/>
          <w:numId w:val="1001"/>
        </w:numPr>
      </w:pPr>
      <w:r>
        <w:rPr>
          <w:bCs/>
          <w:b/>
        </w:rPr>
        <w:t xml:space="preserve">Financial Information</w:t>
      </w:r>
      <w:r>
        <w:t xml:space="preserve">: financial statements, projections, forecasts, budgets, funding history, fundraising plans, cap table information, investor materials, pitch decks, term sheets, valuation information, and financial models;</w:t>
      </w:r>
    </w:p>
    <w:p>
      <w:pPr>
        <w:numPr>
          <w:ilvl w:val="0"/>
          <w:numId w:val="1001"/>
        </w:numPr>
      </w:pPr>
      <w:r>
        <w:rPr>
          <w:bCs/>
          <w:b/>
        </w:rPr>
        <w:t xml:space="preserve">Customer and Operational Information</w:t>
      </w:r>
      <w:r>
        <w:t xml:space="preserve">: customer data, restaurant partner data, diner data, user analytics, operational analytics, engagement metrics, conversion data, retention data, onboarding processes, customer acquisition strategies, customer segmentation, and operational workflows;</w:t>
      </w:r>
    </w:p>
    <w:p>
      <w:pPr>
        <w:numPr>
          <w:ilvl w:val="0"/>
          <w:numId w:val="1001"/>
        </w:numPr>
      </w:pPr>
      <w:r>
        <w:rPr>
          <w:bCs/>
          <w:b/>
        </w:rPr>
        <w:t xml:space="preserve">Strategic and Corporate Information</w:t>
      </w:r>
      <w:r>
        <w:t xml:space="preserve">: corporate structure, legal structures, regulatory filings, intellectual property portfolios, patent applications, trademark registrations, domain strategies, expansion plans, acquisition targets, strategic partnerships, joint venture discussions, and board materials;</w:t>
      </w:r>
    </w:p>
    <w:p>
      <w:pPr>
        <w:numPr>
          <w:ilvl w:val="0"/>
          <w:numId w:val="1001"/>
        </w:numPr>
      </w:pPr>
      <w:r>
        <w:rPr>
          <w:bCs/>
          <w:b/>
        </w:rPr>
        <w:t xml:space="preserve">Personnel and Organizational Information</w:t>
      </w:r>
      <w:r>
        <w:t xml:space="preserve">: team structure, compensation data, hiring plans, organizational strategy, contractor arrangements, and key personnel information;</w:t>
      </w:r>
    </w:p>
    <w:p>
      <w:pPr>
        <w:numPr>
          <w:ilvl w:val="0"/>
          <w:numId w:val="1001"/>
        </w:numPr>
      </w:pPr>
      <w:r>
        <w:rPr>
          <w:bCs/>
          <w:b/>
        </w:rPr>
        <w:t xml:space="preserve">Marketing and Brand Information</w:t>
      </w:r>
      <w:r>
        <w:t xml:space="preserve">: marketing strategies, brand guidelines, campaign plans, promotional materials, content strategies, social media strategies, and public relations plans; and</w:t>
      </w:r>
    </w:p>
    <w:p>
      <w:pPr>
        <w:numPr>
          <w:ilvl w:val="0"/>
          <w:numId w:val="1001"/>
        </w:numPr>
      </w:pPr>
      <w:r>
        <w:rPr>
          <w:bCs/>
          <w:b/>
        </w:rPr>
        <w:t xml:space="preserve">Derivative Information</w:t>
      </w:r>
      <w:r>
        <w:t xml:space="preserve">: any analyses, compilations, summaries, notes, extracts, copies, memoranda, reports, interpretations, derivative works, or other materials prepared by or on behalf of the Receiving Party that contain, reflect, are based upon, or are derived from Confidential Information.</w:t>
      </w:r>
    </w:p>
    <w:p>
      <w:pPr>
        <w:pStyle w:val="FirstParagraph"/>
      </w:pPr>
      <w:r>
        <w:rPr>
          <w:bCs/>
          <w:b/>
        </w:rPr>
        <w:t xml:space="preserve">1.2</w:t>
      </w:r>
      <w:r>
        <w:rPr>
          <w:bCs/>
          <w:b/>
        </w:rPr>
        <w:t xml:space="preserve"> </w:t>
      </w:r>
      <w:r>
        <w:rPr>
          <w:bCs/>
          <w:b/>
        </w:rPr>
        <w:t xml:space="preserve">“</w:t>
      </w:r>
      <w:r>
        <w:rPr>
          <w:bCs/>
          <w:b/>
        </w:rPr>
        <w:t xml:space="preserve">Permitted Purpose</w:t>
      </w:r>
      <w:r>
        <w:rPr>
          <w:bCs/>
          <w:b/>
        </w:rPr>
        <w:t xml:space="preserve">”</w:t>
      </w:r>
      <w:r>
        <w:t xml:space="preserve"> </w:t>
      </w:r>
      <w:r>
        <w:t xml:space="preserve">means [describe specific purpose, e.g., evaluating, supporting, or performing the agreed project services for Dish N Dash in connection with (describe engagement)] and no other purpose.</w:t>
      </w:r>
    </w:p>
    <w:p>
      <w:pPr>
        <w:pStyle w:val="BodyText"/>
      </w:pPr>
      <w:r>
        <w:rPr>
          <w:bCs/>
          <w:b/>
        </w:rPr>
        <w:t xml:space="preserve">1.3</w:t>
      </w:r>
      <w:r>
        <w:rPr>
          <w:bCs/>
          <w:b/>
        </w:rPr>
        <w:t xml:space="preserve"> </w:t>
      </w:r>
      <w:r>
        <w:rPr>
          <w:bCs/>
          <w:b/>
        </w:rPr>
        <w:t xml:space="preserve">“</w:t>
      </w:r>
      <w:r>
        <w:rPr>
          <w:bCs/>
          <w:b/>
        </w:rPr>
        <w:t xml:space="preserve">Authorized Representatives</w:t>
      </w:r>
      <w:r>
        <w:rPr>
          <w:bCs/>
          <w:b/>
        </w:rPr>
        <w:t xml:space="preserve">”</w:t>
      </w:r>
      <w:r>
        <w:t xml:space="preserve"> </w:t>
      </w:r>
      <w:r>
        <w:t xml:space="preserve">means the Receiving Party’s employees and individual contractors who: (a) have a genuine and demonstrated need to know the specific Confidential Information for the sole purpose of directly performing work on the Dish N Dash engagement under the Permitted Purpose; (b) are bound by written confidentiality obligations no less protective than those set forth in this Agreement; and (c) have been informed that the information is the confidential and proprietary information of Dish N Dash.</w:t>
      </w:r>
    </w:p>
    <w:p>
      <w:pPr>
        <w:pStyle w:val="BodyText"/>
      </w:pPr>
      <w:r>
        <w:rPr>
          <w:bCs/>
          <w:b/>
        </w:rPr>
        <w:t xml:space="preserve">1.4</w:t>
      </w:r>
      <w:r>
        <w:rPr>
          <w:bCs/>
          <w:b/>
        </w:rPr>
        <w:t xml:space="preserve"> </w:t>
      </w:r>
      <w:r>
        <w:rPr>
          <w:bCs/>
          <w:b/>
        </w:rPr>
        <w:t xml:space="preserve">“</w:t>
      </w:r>
      <w:r>
        <w:rPr>
          <w:bCs/>
          <w:b/>
        </w:rPr>
        <w:t xml:space="preserve">Term</w:t>
      </w:r>
      <w:r>
        <w:rPr>
          <w:bCs/>
          <w:b/>
        </w:rPr>
        <w:t xml:space="preserve">”</w:t>
      </w:r>
      <w:r>
        <w:t xml:space="preserve"> </w:t>
      </w:r>
      <w:r>
        <w:t xml:space="preserve">means the period commencing on the Effective Date and continuing for [Term, e.g., two (2) years] thereafter, unless earlier terminated in accordance with this Agreement.</w:t>
      </w:r>
    </w:p>
    <w:p>
      <w:r>
        <w:pict>
          <v:rect style="width:0;height:1.5pt" o:hralign="center" o:hrstd="t" o:hr="t"/>
        </w:pict>
      </w:r>
    </w:p>
    <w:bookmarkEnd w:id="21"/>
    <w:bookmarkStart w:id="22" w:name="obligations-of-confidentiality"/>
    <w:p>
      <w:pPr>
        <w:pStyle w:val="Heading3"/>
      </w:pPr>
      <w:r>
        <w:t xml:space="preserve">2. OBLIGATIONS OF CONFIDENTIALITY</w:t>
      </w:r>
    </w:p>
    <w:p>
      <w:pPr>
        <w:pStyle w:val="FirstParagraph"/>
      </w:pPr>
      <w:r>
        <w:t xml:space="preserve">2.1 The Receiving Party shall hold all Confidential Information in strict confidence and shall not disclose, publish, transmit, disseminate, discuss, reveal, or otherwise make available any Confidential Information to any person or entity, except as expressly permitted under this Agreement.</w:t>
      </w:r>
    </w:p>
    <w:p>
      <w:pPr>
        <w:pStyle w:val="BodyText"/>
      </w:pPr>
      <w:r>
        <w:t xml:space="preserve">2.2 The Receiving Party shall protect the Confidential Information using at least the same degree of care it uses to protect its own most sensitive confidential information, but in no event less than a commercially reasonable standard of care.</w:t>
      </w:r>
    </w:p>
    <w:p>
      <w:pPr>
        <w:pStyle w:val="BodyText"/>
      </w:pPr>
      <w:r>
        <w:t xml:space="preserve">2.3 The Receiving Party shall limit internal access to Confidential Information strictly to its Authorized Representatives. For the avoidance of doubt,</w:t>
      </w:r>
      <w:r>
        <w:t xml:space="preserve"> </w:t>
      </w:r>
      <w:r>
        <w:t xml:space="preserve">“</w:t>
      </w:r>
      <w:r>
        <w:t xml:space="preserve">internal</w:t>
      </w:r>
      <w:r>
        <w:t xml:space="preserve">”</w:t>
      </w:r>
      <w:r>
        <w:t xml:space="preserve"> </w:t>
      </w:r>
      <w:r>
        <w:t xml:space="preserve">access does not extend to all employees, officers, or personnel of the Receiving Party; it is limited exclusively to those individuals directly assigned to and actively working on the specific Dish N Dash engagement under the Permitted Purpose.</w:t>
      </w:r>
    </w:p>
    <w:p>
      <w:pPr>
        <w:pStyle w:val="BodyText"/>
      </w:pPr>
      <w:r>
        <w:t xml:space="preserve">2.4 The Receiving Party shall be responsible for any breach of this Agreement by its Authorized Representatives and shall ensure compliance with the terms of this Agreement by all such persons.</w:t>
      </w:r>
    </w:p>
    <w:p>
      <w:r>
        <w:pict>
          <v:rect style="width:0;height:1.5pt" o:hralign="center" o:hrstd="t" o:hr="t"/>
        </w:pict>
      </w:r>
    </w:p>
    <w:bookmarkEnd w:id="22"/>
    <w:bookmarkStart w:id="23" w:name="restrictions-on-use"/>
    <w:p>
      <w:pPr>
        <w:pStyle w:val="Heading3"/>
      </w:pPr>
      <w:r>
        <w:t xml:space="preserve">3. RESTRICTIONS ON USE</w:t>
      </w:r>
    </w:p>
    <w:p>
      <w:pPr>
        <w:pStyle w:val="FirstParagraph"/>
      </w:pPr>
      <w:r>
        <w:t xml:space="preserve">3.1 The Receiving Party shall use the Confidential Information solely for the Permitted Purpose and for no other purpose whatsoever.</w:t>
      </w:r>
    </w:p>
    <w:p>
      <w:pPr>
        <w:pStyle w:val="BodyText"/>
      </w:pPr>
      <w:r>
        <w:t xml:space="preserve">3.2 Without limiting the generality of Clause 3.1, the Receiving Party shall not use, apply, or exploit any Confidential Information for:</w:t>
      </w:r>
    </w:p>
    <w:p>
      <w:pPr>
        <w:numPr>
          <w:ilvl w:val="0"/>
          <w:numId w:val="1002"/>
        </w:numPr>
      </w:pPr>
      <w:r>
        <w:t xml:space="preserve">the Receiving Party’s own internal business purposes unrelated to the Permitted Purpose;</w:t>
      </w:r>
    </w:p>
    <w:p>
      <w:pPr>
        <w:numPr>
          <w:ilvl w:val="0"/>
          <w:numId w:val="1002"/>
        </w:numPr>
      </w:pPr>
      <w:r>
        <w:t xml:space="preserve">competitive analysis, benchmarking, or market intelligence;</w:t>
      </w:r>
    </w:p>
    <w:p>
      <w:pPr>
        <w:numPr>
          <w:ilvl w:val="0"/>
          <w:numId w:val="1002"/>
        </w:numPr>
      </w:pPr>
      <w:r>
        <w:t xml:space="preserve">the development, design, improvement, or enhancement of the Receiving Party’s own products, services, or business operations;</w:t>
      </w:r>
    </w:p>
    <w:p>
      <w:pPr>
        <w:numPr>
          <w:ilvl w:val="0"/>
          <w:numId w:val="1002"/>
        </w:numPr>
      </w:pPr>
      <w:r>
        <w:t xml:space="preserve">the benefit of any third party, including the Receiving Party’s other clients, affiliates, portfolio companies, or business partners;</w:t>
      </w:r>
    </w:p>
    <w:p>
      <w:pPr>
        <w:numPr>
          <w:ilvl w:val="0"/>
          <w:numId w:val="1002"/>
        </w:numPr>
      </w:pPr>
      <w:r>
        <w:t xml:space="preserve">training, educational, or knowledge-sharing purposes within the Receiving Party’s organization beyond the Authorized Representatives;</w:t>
      </w:r>
    </w:p>
    <w:p>
      <w:pPr>
        <w:numPr>
          <w:ilvl w:val="0"/>
          <w:numId w:val="1002"/>
        </w:numPr>
      </w:pPr>
      <w:r>
        <w:t xml:space="preserve">product inspiration, feature replication, workflow imitation, or business model copying; or</w:t>
      </w:r>
    </w:p>
    <w:p>
      <w:pPr>
        <w:numPr>
          <w:ilvl w:val="0"/>
          <w:numId w:val="1002"/>
        </w:numPr>
      </w:pPr>
      <w:r>
        <w:t xml:space="preserve">any purpose that competes with or is adverse to the interests of Dish N Dash.</w:t>
      </w:r>
    </w:p>
    <w:p>
      <w:r>
        <w:pict>
          <v:rect style="width:0;height:1.5pt" o:hralign="center" o:hrstd="t" o:hr="t"/>
        </w:pict>
      </w:r>
    </w:p>
    <w:bookmarkEnd w:id="23"/>
    <w:bookmarkStart w:id="24" w:name="restrictions-on-disclosure"/>
    <w:p>
      <w:pPr>
        <w:pStyle w:val="Heading3"/>
      </w:pPr>
      <w:r>
        <w:t xml:space="preserve">4. RESTRICTIONS ON DISCLOSURE</w:t>
      </w:r>
    </w:p>
    <w:p>
      <w:pPr>
        <w:pStyle w:val="FirstParagraph"/>
      </w:pPr>
      <w:r>
        <w:t xml:space="preserve">4.1 The Receiving Party shall not disclose any Confidential Information to any person or entity other than its Authorized Representatives without the prior written consent of Dish N Dash.</w:t>
      </w:r>
    </w:p>
    <w:p>
      <w:pPr>
        <w:pStyle w:val="BodyText"/>
      </w:pPr>
      <w:r>
        <w:t xml:space="preserve">4.2 Without limiting the generality of Clause 4.1, the Receiving Party shall not disclose Confidential Information to:</w:t>
      </w:r>
    </w:p>
    <w:p>
      <w:pPr>
        <w:numPr>
          <w:ilvl w:val="0"/>
          <w:numId w:val="1003"/>
        </w:numPr>
      </w:pPr>
      <w:r>
        <w:t xml:space="preserve">affiliates, parent companies, subsidiaries, or related entities of the Receiving Party;</w:t>
      </w:r>
    </w:p>
    <w:p>
      <w:pPr>
        <w:numPr>
          <w:ilvl w:val="0"/>
          <w:numId w:val="1003"/>
        </w:numPr>
      </w:pPr>
      <w:r>
        <w:t xml:space="preserve">subcontractors, outsourced teams, or freelancers engaged by the Receiving Party;</w:t>
      </w:r>
    </w:p>
    <w:p>
      <w:pPr>
        <w:numPr>
          <w:ilvl w:val="0"/>
          <w:numId w:val="1003"/>
        </w:numPr>
      </w:pPr>
      <w:r>
        <w:t xml:space="preserve">the Receiving Party’s external legal, financial, or professional advisors (unless Dish N Dash provides prior written consent and such advisors are bound by equivalent confidentiality obligations);</w:t>
      </w:r>
    </w:p>
    <w:p>
      <w:pPr>
        <w:numPr>
          <w:ilvl w:val="0"/>
          <w:numId w:val="1003"/>
        </w:numPr>
      </w:pPr>
      <w:r>
        <w:t xml:space="preserve">investors, lenders, acquirers, or potential business partners of the Receiving Party;</w:t>
      </w:r>
    </w:p>
    <w:p>
      <w:pPr>
        <w:numPr>
          <w:ilvl w:val="0"/>
          <w:numId w:val="1003"/>
        </w:numPr>
      </w:pPr>
      <w:r>
        <w:t xml:space="preserve">other clients, prospects, or commercial contacts of the Receiving Party;</w:t>
      </w:r>
    </w:p>
    <w:p>
      <w:pPr>
        <w:numPr>
          <w:ilvl w:val="0"/>
          <w:numId w:val="1003"/>
        </w:numPr>
      </w:pPr>
      <w:r>
        <w:t xml:space="preserve">any press, media, journalist, blogger, analyst, or industry commentator;</w:t>
      </w:r>
    </w:p>
    <w:p>
      <w:pPr>
        <w:numPr>
          <w:ilvl w:val="0"/>
          <w:numId w:val="1003"/>
        </w:numPr>
      </w:pPr>
      <w:r>
        <w:t xml:space="preserve">any recruiter, job candidate, or prospective employee of the Receiving Party;</w:t>
      </w:r>
    </w:p>
    <w:p>
      <w:pPr>
        <w:numPr>
          <w:ilvl w:val="0"/>
          <w:numId w:val="1003"/>
        </w:numPr>
      </w:pPr>
      <w:r>
        <w:t xml:space="preserve">any person through social media platforms, online forums, messaging applications, community groups, or public channels; or</w:t>
      </w:r>
    </w:p>
    <w:p>
      <w:pPr>
        <w:numPr>
          <w:ilvl w:val="0"/>
          <w:numId w:val="1003"/>
        </w:numPr>
      </w:pPr>
      <w:r>
        <w:t xml:space="preserve">any other person or entity not expressly authorized under this Agreement.</w:t>
      </w:r>
    </w:p>
    <w:p>
      <w:pPr>
        <w:pStyle w:val="FirstParagraph"/>
      </w:pPr>
      <w:r>
        <w:t xml:space="preserve">4.3 If the Receiving Party wishes to disclose Confidential Information to any subcontractor or third party in connection with the Permitted Purpose, it must obtain Dish N Dash’s prior written consent, and any such approved recipient must execute a written non-disclosure agreement with terms no less protective than this Agreement before any disclosure is made.</w:t>
      </w:r>
    </w:p>
    <w:p>
      <w:r>
        <w:pict>
          <v:rect style="width:0;height:1.5pt" o:hralign="center" o:hrstd="t" o:hr="t"/>
        </w:pict>
      </w:r>
    </w:p>
    <w:bookmarkEnd w:id="24"/>
    <w:bookmarkStart w:id="25" w:name="no-publicity-no-reference"/>
    <w:p>
      <w:pPr>
        <w:pStyle w:val="Heading3"/>
      </w:pPr>
      <w:r>
        <w:t xml:space="preserve">5. NO PUBLICITY / NO REFERENCE</w:t>
      </w:r>
    </w:p>
    <w:p>
      <w:pPr>
        <w:pStyle w:val="FirstParagraph"/>
      </w:pPr>
      <w:r>
        <w:t xml:space="preserve">5.1 The Receiving Party shall not, without the prior written consent of Dish N Dash, directly or indirectly:</w:t>
      </w:r>
    </w:p>
    <w:p>
      <w:pPr>
        <w:numPr>
          <w:ilvl w:val="0"/>
          <w:numId w:val="1004"/>
        </w:numPr>
      </w:pPr>
      <w:r>
        <w:t xml:space="preserve">disclose or reference the existence of this Agreement, the relationship between the Parties, or any engagement or discussions with Dish N Dash;</w:t>
      </w:r>
    </w:p>
    <w:p>
      <w:pPr>
        <w:numPr>
          <w:ilvl w:val="0"/>
          <w:numId w:val="1004"/>
        </w:numPr>
      </w:pPr>
      <w:r>
        <w:t xml:space="preserve">use the name, logo, trademark, brand, or any other identifier of Dish N Dash in any marketing materials, proposals, pitch decks, credentials presentations, case studies, client lists, portfolio pages, websites, social media posts, press releases, or public communications;</w:t>
      </w:r>
    </w:p>
    <w:p>
      <w:pPr>
        <w:numPr>
          <w:ilvl w:val="0"/>
          <w:numId w:val="1004"/>
        </w:numPr>
      </w:pPr>
      <w:r>
        <w:t xml:space="preserve">disclose the nature, scope, subject matter, or deliverables of any project or engagement with Dish N Dash;</w:t>
      </w:r>
    </w:p>
    <w:p>
      <w:pPr>
        <w:numPr>
          <w:ilvl w:val="0"/>
          <w:numId w:val="1004"/>
        </w:numPr>
      </w:pPr>
      <w:r>
        <w:t xml:space="preserve">publish, display, or reference any screenshots, designs, outputs, work product, or deliverables created in connection with the Dish N Dash engagement; or</w:t>
      </w:r>
    </w:p>
    <w:p>
      <w:pPr>
        <w:numPr>
          <w:ilvl w:val="0"/>
          <w:numId w:val="1004"/>
        </w:numPr>
      </w:pPr>
      <w:r>
        <w:t xml:space="preserve">make any public statement, written or oral, regarding Dish N Dash or the Receiving Party’s involvement with Dish N Dash.</w:t>
      </w:r>
    </w:p>
    <w:p>
      <w:r>
        <w:pict>
          <v:rect style="width:0;height:1.5pt" o:hralign="center" o:hrstd="t" o:hr="t"/>
        </w:pict>
      </w:r>
    </w:p>
    <w:bookmarkEnd w:id="25"/>
    <w:bookmarkStart w:id="26" w:name="non-circumvention"/>
    <w:p>
      <w:pPr>
        <w:pStyle w:val="Heading3"/>
      </w:pPr>
      <w:r>
        <w:t xml:space="preserve">6. NON-CIRCUMVENTION</w:t>
      </w:r>
    </w:p>
    <w:p>
      <w:pPr>
        <w:pStyle w:val="FirstParagraph"/>
      </w:pPr>
      <w:r>
        <w:t xml:space="preserve">6.1 The Receiving Party acknowledges that it may become aware of Dish N Dash’s business relationships, strategic contacts, restaurant partners, technology vendors, investors, suppliers, and commercial opportunities through the disclosure of Confidential Information or through the course of the engagement.</w:t>
      </w:r>
    </w:p>
    <w:p>
      <w:pPr>
        <w:pStyle w:val="BodyText"/>
      </w:pPr>
      <w:r>
        <w:t xml:space="preserve">6.2 The Receiving Party shall not, during the Term and for a period of [twenty-four (24) months / other period] following the termination or expiration of this Agreement, directly or indirectly:</w:t>
      </w:r>
    </w:p>
    <w:p>
      <w:pPr>
        <w:numPr>
          <w:ilvl w:val="0"/>
          <w:numId w:val="1005"/>
        </w:numPr>
      </w:pPr>
      <w:r>
        <w:t xml:space="preserve">contact, solicit, negotiate with, or enter into any business relationship with any restaurant, partner, vendor, supplier, investor, or strategic contact of Dish N Dash that the Receiving Party became aware of through the engagement or through access to Confidential Information, for any purpose that competes with or is adverse to Dish N Dash’s interests;</w:t>
      </w:r>
    </w:p>
    <w:p>
      <w:pPr>
        <w:numPr>
          <w:ilvl w:val="0"/>
          <w:numId w:val="1005"/>
        </w:numPr>
      </w:pPr>
      <w:r>
        <w:t xml:space="preserve">use Confidential Information to circumvent, bypass, or interfere with Dish N Dash’s existing or prospective business relationships; or</w:t>
      </w:r>
    </w:p>
    <w:p>
      <w:pPr>
        <w:numPr>
          <w:ilvl w:val="0"/>
          <w:numId w:val="1005"/>
        </w:numPr>
      </w:pPr>
      <w:r>
        <w:t xml:space="preserve">replicate, copy, or adapt Dish N Dash’s business model, product logic, feature set, commercial methods, launch concepts, or operational workflows for the Receiving Party’s own benefit or for the benefit of any third party.</w:t>
      </w:r>
    </w:p>
    <w:p>
      <w:r>
        <w:pict>
          <v:rect style="width:0;height:1.5pt" o:hralign="center" o:hrstd="t" o:hr="t"/>
        </w:pict>
      </w:r>
    </w:p>
    <w:bookmarkEnd w:id="26"/>
    <w:bookmarkStart w:id="27" w:name="exceptions-to-confidentiality"/>
    <w:p>
      <w:pPr>
        <w:pStyle w:val="Heading3"/>
      </w:pPr>
      <w:r>
        <w:t xml:space="preserve">7. EXCEPTIONS TO CONFIDENTIALITY</w:t>
      </w:r>
    </w:p>
    <w:p>
      <w:pPr>
        <w:pStyle w:val="FirstParagraph"/>
      </w:pPr>
      <w:r>
        <w:t xml:space="preserve">7.1 The obligations of confidentiality under this Agreement shall not apply to information that the Receiving Party can demonstrate by clear and convincing documentary evidence:</w:t>
      </w:r>
    </w:p>
    <w:p>
      <w:pPr>
        <w:numPr>
          <w:ilvl w:val="0"/>
          <w:numId w:val="1006"/>
        </w:numPr>
      </w:pPr>
      <w:r>
        <w:t xml:space="preserve">was already in the Receiving Party’s lawful possession, without any obligation of confidentiality, prior to disclosure by Dish N Dash;</w:t>
      </w:r>
    </w:p>
    <w:p>
      <w:pPr>
        <w:numPr>
          <w:ilvl w:val="0"/>
          <w:numId w:val="1006"/>
        </w:numPr>
      </w:pPr>
      <w:r>
        <w:t xml:space="preserve">was independently developed by the Receiving Party without use of, reference to, or reliance upon any Confidential Information, as evidenced by contemporaneous written records;</w:t>
      </w:r>
    </w:p>
    <w:p>
      <w:pPr>
        <w:numPr>
          <w:ilvl w:val="0"/>
          <w:numId w:val="1006"/>
        </w:numPr>
      </w:pPr>
      <w:r>
        <w:t xml:space="preserve">was lawfully received by the Receiving Party from a third party who was not, to the Receiving Party’s knowledge, under any obligation of confidentiality to Dish N Dash with respect to such information; or</w:t>
      </w:r>
    </w:p>
    <w:p>
      <w:pPr>
        <w:numPr>
          <w:ilvl w:val="0"/>
          <w:numId w:val="1006"/>
        </w:numPr>
      </w:pPr>
      <w:r>
        <w:t xml:space="preserve">is or becomes publicly available through no fault, act, or omission of the Receiving Party or any person to whom the Receiving Party has disclosed the information.</w:t>
      </w:r>
    </w:p>
    <w:p>
      <w:pPr>
        <w:pStyle w:val="FirstParagraph"/>
      </w:pPr>
      <w:r>
        <w:t xml:space="preserve">7.2 The burden of establishing the applicability of any exception under Clause 7.1 shall rest with the Receiving Party.</w:t>
      </w:r>
    </w:p>
    <w:p>
      <w:pPr>
        <w:pStyle w:val="BodyText"/>
      </w:pPr>
      <w:r>
        <w:t xml:space="preserve">7.3 A combination of information shall not be deemed to fall within any exception merely because individual components of that combination are independently subject to an exception.</w:t>
      </w:r>
    </w:p>
    <w:p>
      <w:r>
        <w:pict>
          <v:rect style="width:0;height:1.5pt" o:hralign="center" o:hrstd="t" o:hr="t"/>
        </w:pict>
      </w:r>
    </w:p>
    <w:bookmarkEnd w:id="27"/>
    <w:bookmarkStart w:id="28" w:name="compelled-disclosure"/>
    <w:p>
      <w:pPr>
        <w:pStyle w:val="Heading3"/>
      </w:pPr>
      <w:r>
        <w:t xml:space="preserve">8. COMPELLED DISCLOSURE</w:t>
      </w:r>
    </w:p>
    <w:p>
      <w:pPr>
        <w:pStyle w:val="FirstParagraph"/>
      </w:pPr>
      <w:r>
        <w:t xml:space="preserve">8.1 If the Receiving Party is compelled by law, regulation, court order, governmental authority, or legal process to disclose any Confidential Information, the Receiving Party shall, to the extent legally permitted:</w:t>
      </w:r>
    </w:p>
    <w:p>
      <w:pPr>
        <w:numPr>
          <w:ilvl w:val="0"/>
          <w:numId w:val="1007"/>
        </w:numPr>
      </w:pPr>
      <w:r>
        <w:t xml:space="preserve">provide Dish N Dash with prompt written notice of such requirement prior to any disclosure, sufficient to allow Dish N Dash a reasonable opportunity to seek a protective order, injunction, or other appropriate remedy;</w:t>
      </w:r>
    </w:p>
    <w:p>
      <w:pPr>
        <w:numPr>
          <w:ilvl w:val="0"/>
          <w:numId w:val="1007"/>
        </w:numPr>
      </w:pPr>
      <w:r>
        <w:t xml:space="preserve">disclose only the minimum portion of Confidential Information that is strictly required to satisfy the legal obligation;</w:t>
      </w:r>
    </w:p>
    <w:p>
      <w:pPr>
        <w:numPr>
          <w:ilvl w:val="0"/>
          <w:numId w:val="1007"/>
        </w:numPr>
      </w:pPr>
      <w:r>
        <w:t xml:space="preserve">use commercially reasonable efforts to obtain confidential treatment or a protective order for the disclosed information;</w:t>
      </w:r>
    </w:p>
    <w:p>
      <w:pPr>
        <w:numPr>
          <w:ilvl w:val="0"/>
          <w:numId w:val="1007"/>
        </w:numPr>
      </w:pPr>
      <w:r>
        <w:t xml:space="preserve">cooperate with Dish N Dash, at Dish N Dash’s expense, in any effort to resist, limit, or condition the scope of such disclosure; and</w:t>
      </w:r>
    </w:p>
    <w:p>
      <w:pPr>
        <w:numPr>
          <w:ilvl w:val="0"/>
          <w:numId w:val="1007"/>
        </w:numPr>
      </w:pPr>
      <w:r>
        <w:t xml:space="preserve">continue to treat all Confidential Information not subject to the compelled disclosure as confidential under this Agreement.</w:t>
      </w:r>
    </w:p>
    <w:p>
      <w:r>
        <w:pict>
          <v:rect style="width:0;height:1.5pt" o:hralign="center" o:hrstd="t" o:hr="t"/>
        </w:pict>
      </w:r>
    </w:p>
    <w:bookmarkEnd w:id="28"/>
    <w:bookmarkStart w:id="29" w:name="data-security-and-handling"/>
    <w:p>
      <w:pPr>
        <w:pStyle w:val="Heading3"/>
      </w:pPr>
      <w:r>
        <w:t xml:space="preserve">9. DATA SECURITY AND HANDLING</w:t>
      </w:r>
    </w:p>
    <w:p>
      <w:pPr>
        <w:pStyle w:val="FirstParagraph"/>
      </w:pPr>
      <w:r>
        <w:t xml:space="preserve">9.1 The Receiving Party shall implement and maintain appropriate technical and organizational measures to protect the Confidential Information against unauthorized access, disclosure, use, alteration, destruction, or loss.</w:t>
      </w:r>
    </w:p>
    <w:p>
      <w:pPr>
        <w:pStyle w:val="BodyText"/>
      </w:pPr>
      <w:r>
        <w:t xml:space="preserve">9.2 Without limiting the generality of Clause 9.1, the Receiving Party shall:</w:t>
      </w:r>
    </w:p>
    <w:p>
      <w:pPr>
        <w:numPr>
          <w:ilvl w:val="0"/>
          <w:numId w:val="1008"/>
        </w:numPr>
      </w:pPr>
      <w:r>
        <w:t xml:space="preserve">store Confidential Information only on secure systems with access controls limited to Authorized Representatives;</w:t>
      </w:r>
    </w:p>
    <w:p>
      <w:pPr>
        <w:numPr>
          <w:ilvl w:val="0"/>
          <w:numId w:val="1008"/>
        </w:numPr>
      </w:pPr>
      <w:r>
        <w:t xml:space="preserve">not copy, reproduce, or duplicate Confidential Information except to the extent reasonably necessary for the Permitted Purpose;</w:t>
      </w:r>
    </w:p>
    <w:p>
      <w:pPr>
        <w:numPr>
          <w:ilvl w:val="0"/>
          <w:numId w:val="1008"/>
        </w:numPr>
      </w:pPr>
      <w:r>
        <w:t xml:space="preserve">not transmit Confidential Information over unsecured channels or store it on unauthorized personal devices, external storage media, or unapproved cloud services;</w:t>
      </w:r>
    </w:p>
    <w:p>
      <w:pPr>
        <w:numPr>
          <w:ilvl w:val="0"/>
          <w:numId w:val="1008"/>
        </w:numPr>
      </w:pPr>
      <w:r>
        <w:t xml:space="preserve">maintain access logs or records sufficient to identify which Authorized Representatives have accessed Confidential Information, to the extent commercially practicable; and</w:t>
      </w:r>
    </w:p>
    <w:p>
      <w:pPr>
        <w:numPr>
          <w:ilvl w:val="0"/>
          <w:numId w:val="1008"/>
        </w:numPr>
      </w:pPr>
      <w:r>
        <w:t xml:space="preserve">promptly notify Dish N Dash in writing, and in no event later than forty-eight (48) hours, upon becoming aware of any actual or suspected unauthorized access, use, disclosure, or breach involving Confidential Information, and cooperate fully with Dish N Dash in investigating, mitigating, and remediating any such incident.</w:t>
      </w:r>
    </w:p>
    <w:p>
      <w:r>
        <w:pict>
          <v:rect style="width:0;height:1.5pt" o:hralign="center" o:hrstd="t" o:hr="t"/>
        </w:pict>
      </w:r>
    </w:p>
    <w:bookmarkEnd w:id="29"/>
    <w:bookmarkStart w:id="30" w:name="X57f3f014790054e40580b4ab9947455de7daf54"/>
    <w:p>
      <w:pPr>
        <w:pStyle w:val="Heading3"/>
      </w:pPr>
      <w:r>
        <w:t xml:space="preserve">10. RETURN AND DESTRUCTION OF CONFIDENTIAL INFORMATION</w:t>
      </w:r>
    </w:p>
    <w:p>
      <w:pPr>
        <w:pStyle w:val="FirstParagraph"/>
      </w:pPr>
      <w:r>
        <w:t xml:space="preserve">10.1 Upon the earlier of: (a) expiration or termination of this Agreement; (b) completion of the Permitted Purpose; or (c) written request by Dish N Dash, the Receiving Party shall promptly:</w:t>
      </w:r>
    </w:p>
    <w:p>
      <w:pPr>
        <w:numPr>
          <w:ilvl w:val="0"/>
          <w:numId w:val="1009"/>
        </w:numPr>
      </w:pPr>
      <w:r>
        <w:t xml:space="preserve">return to Dish N Dash all originals and copies of Confidential Information in any form or medium; or</w:t>
      </w:r>
    </w:p>
    <w:p>
      <w:pPr>
        <w:numPr>
          <w:ilvl w:val="0"/>
          <w:numId w:val="1009"/>
        </w:numPr>
      </w:pPr>
      <w:r>
        <w:t xml:space="preserve">at Dish N Dash’s election, securely destroy all Confidential Information, including any Derivative Information, using methods appropriate to the sensitivity and format of the materials.</w:t>
      </w:r>
    </w:p>
    <w:p>
      <w:pPr>
        <w:pStyle w:val="FirstParagraph"/>
      </w:pPr>
      <w:r>
        <w:t xml:space="preserve">10.2 Upon request by Dish N Dash, the Receiving Party shall certify in writing, by an authorized officer or representative, that it has complied with its obligations under Clause 10.1, including confirmation that no copies, extracts, or derivative materials have been retained.</w:t>
      </w:r>
    </w:p>
    <w:p>
      <w:pPr>
        <w:pStyle w:val="BodyText"/>
      </w:pPr>
      <w:r>
        <w:t xml:space="preserve">10.3 Notwithstanding the foregoing, the Receiving Party may retain copies of Confidential Information solely to the extent: (a) required by applicable law, regulation, or professional standards; or (b) automatically retained in routine electronic backup or archival systems, provided that: (i) such retained copies remain subject to the confidentiality obligations of this Agreement for as long as they are retained; (ii) the Receiving Party does not access or use such retained copies for any purpose other than compliance with the applicable legal or regulatory requirement; and (iii) such backup copies are destroyed in accordance with the Receiving Party’s standard data retention and destruction policies.</w:t>
      </w:r>
    </w:p>
    <w:p>
      <w:r>
        <w:pict>
          <v:rect style="width:0;height:1.5pt" o:hralign="center" o:hrstd="t" o:hr="t"/>
        </w:pict>
      </w:r>
    </w:p>
    <w:bookmarkEnd w:id="30"/>
    <w:bookmarkStart w:id="31" w:name="ownership-and-no-license"/>
    <w:p>
      <w:pPr>
        <w:pStyle w:val="Heading3"/>
      </w:pPr>
      <w:r>
        <w:t xml:space="preserve">11. OWNERSHIP AND NO LICENSE</w:t>
      </w:r>
    </w:p>
    <w:p>
      <w:pPr>
        <w:pStyle w:val="FirstParagraph"/>
      </w:pPr>
      <w:r>
        <w:t xml:space="preserve">11.1 All Confidential Information is and shall remain the sole and exclusive property of Dish N Dash. Nothing in this Agreement shall be construed as granting or conferring any rights, license, title, or interest in or to any Confidential Information, intellectual property, or proprietary rights of Dish N Dash to the Receiving Party, whether by implication, estoppel, or otherwise.</w:t>
      </w:r>
    </w:p>
    <w:p>
      <w:pPr>
        <w:pStyle w:val="BodyText"/>
      </w:pPr>
      <w:r>
        <w:t xml:space="preserve">11.2 The limited right of the Receiving Party to use Confidential Information under this Agreement is restricted solely to the Permitted Purpose and shall terminate automatically upon the expiration or termination of this Agreement or upon Dish N Dash’s written request.</w:t>
      </w:r>
    </w:p>
    <w:p>
      <w:pPr>
        <w:pStyle w:val="BodyText"/>
      </w:pPr>
      <w:r>
        <w:t xml:space="preserve">11.3 Dish N Dash makes no representation or warranty, express or implied, as to the accuracy, completeness, or fitness for a particular purpose of any Confidential Information. All Confidential Information is provided</w:t>
      </w:r>
      <w:r>
        <w:t xml:space="preserve"> </w:t>
      </w:r>
      <w:r>
        <w:t xml:space="preserve">“</w:t>
      </w:r>
      <w:r>
        <w:t xml:space="preserve">as is.</w:t>
      </w:r>
      <w:r>
        <w:t xml:space="preserve">”</w:t>
      </w:r>
    </w:p>
    <w:p>
      <w:r>
        <w:pict>
          <v:rect style="width:0;height:1.5pt" o:hralign="center" o:hrstd="t" o:hr="t"/>
        </w:pict>
      </w:r>
    </w:p>
    <w:bookmarkEnd w:id="31"/>
    <w:bookmarkStart w:id="32" w:name="term-and-survival"/>
    <w:p>
      <w:pPr>
        <w:pStyle w:val="Heading3"/>
      </w:pPr>
      <w:r>
        <w:t xml:space="preserve">12. TERM AND SURVIVAL</w:t>
      </w:r>
    </w:p>
    <w:p>
      <w:pPr>
        <w:pStyle w:val="FirstParagraph"/>
      </w:pPr>
      <w:r>
        <w:t xml:space="preserve">12.1 This Agreement shall become effective as of the Effective Date and shall remain in force for the Term, unless terminated earlier by either Party upon thirty (30) days’ prior written notice to the other Party.</w:t>
      </w:r>
    </w:p>
    <w:p>
      <w:pPr>
        <w:pStyle w:val="BodyText"/>
      </w:pPr>
      <w:r>
        <w:t xml:space="preserve">12.2 The obligations of confidentiality, non-use, non-disclosure, non-circumvention, and data security under this Agreement shall survive the expiration or termination of this Agreement for a period of [five (5) years / other period] from the date of termination or expiration.</w:t>
      </w:r>
    </w:p>
    <w:p>
      <w:pPr>
        <w:pStyle w:val="BodyText"/>
      </w:pPr>
      <w:r>
        <w:t xml:space="preserve">12.3 Notwithstanding Clause 12.2, with respect to any Confidential Information that constitutes a trade secret under applicable law, the obligations of this Agreement shall continue for as long as such information retains its status as a trade secret.</w:t>
      </w:r>
    </w:p>
    <w:p>
      <w:r>
        <w:pict>
          <v:rect style="width:0;height:1.5pt" o:hralign="center" o:hrstd="t" o:hr="t"/>
        </w:pict>
      </w:r>
    </w:p>
    <w:bookmarkEnd w:id="32"/>
    <w:bookmarkStart w:id="33" w:name="remedies"/>
    <w:p>
      <w:pPr>
        <w:pStyle w:val="Heading3"/>
      </w:pPr>
      <w:r>
        <w:t xml:space="preserve">13. REMEDIES</w:t>
      </w:r>
    </w:p>
    <w:p>
      <w:pPr>
        <w:pStyle w:val="FirstParagraph"/>
      </w:pPr>
      <w:r>
        <w:t xml:space="preserve">13.1 The Receiving Party acknowledges and agrees that the Confidential Information is of a special, unique, and extraordinary character, and that any breach or threatened breach of this Agreement may cause irreparable harm and significant injury to Dish N Dash, the extent of which would be difficult to ascertain and for which monetary damages would not be an adequate remedy.</w:t>
      </w:r>
    </w:p>
    <w:p>
      <w:pPr>
        <w:pStyle w:val="BodyText"/>
      </w:pPr>
      <w:r>
        <w:t xml:space="preserve">13.2 Accordingly, in addition to any other rights and remedies available at law or in equity, Dish N Dash shall be entitled to seek injunctive relief, specific performance, or other equitable remedies from any court of competent jurisdiction, without the necessity of proving actual damages or posting a bond or other security (to the extent permitted by applicable law).</w:t>
      </w:r>
    </w:p>
    <w:p>
      <w:pPr>
        <w:pStyle w:val="BodyText"/>
      </w:pPr>
      <w:r>
        <w:t xml:space="preserve">13.3 The rights and remedies of Dish N Dash under this Agreement are cumulative and shall not be deemed to exclude any other rights or remedies available under law or equity.</w:t>
      </w:r>
    </w:p>
    <w:p>
      <w:r>
        <w:pict>
          <v:rect style="width:0;height:1.5pt" o:hralign="center" o:hrstd="t" o:hr="t"/>
        </w:pict>
      </w:r>
    </w:p>
    <w:bookmarkEnd w:id="33"/>
    <w:bookmarkStart w:id="34" w:name="no-waiver"/>
    <w:p>
      <w:pPr>
        <w:pStyle w:val="Heading3"/>
      </w:pPr>
      <w:r>
        <w:t xml:space="preserve">14. NO WAIVER</w:t>
      </w:r>
    </w:p>
    <w:p>
      <w:pPr>
        <w:pStyle w:val="FirstParagraph"/>
      </w:pPr>
      <w:r>
        <w:t xml:space="preserve">14.1 No failure or delay by Dish N Dash in exercising any right, power, or remedy under this Agreement shall operate as a waiver thereof, nor shall any single or partial exercise of any right, power, or remedy preclude any other or further exercise thereof or the exercise of any other right, power, or remedy.</w:t>
      </w:r>
    </w:p>
    <w:p>
      <w:pPr>
        <w:pStyle w:val="BodyText"/>
      </w:pPr>
      <w:r>
        <w:t xml:space="preserve">14.2 No waiver of any provision of this Agreement shall be effective unless made in writing and signed by an authorized representative of the waiving Party.</w:t>
      </w:r>
    </w:p>
    <w:p>
      <w:r>
        <w:pict>
          <v:rect style="width:0;height:1.5pt" o:hralign="center" o:hrstd="t" o:hr="t"/>
        </w:pict>
      </w:r>
    </w:p>
    <w:bookmarkEnd w:id="34"/>
    <w:bookmarkStart w:id="35" w:name="general-provisions"/>
    <w:p>
      <w:pPr>
        <w:pStyle w:val="Heading3"/>
      </w:pPr>
      <w:r>
        <w:t xml:space="preserve">15. GENERAL PROVISIONS</w:t>
      </w:r>
    </w:p>
    <w:p>
      <w:pPr>
        <w:pStyle w:val="FirstParagraph"/>
      </w:pPr>
      <w:r>
        <w:rPr>
          <w:bCs/>
          <w:b/>
        </w:rPr>
        <w:t xml:space="preserve">15.1 Severability.</w:t>
      </w:r>
      <w:r>
        <w:t xml:space="preserve"> </w:t>
      </w:r>
      <w:r>
        <w:t xml:space="preserve">If any provision of this Agreement is found by a court of competent jurisdiction to be invalid, illegal, or unenforceable, such provision shall be modified to the minimum extent necessary to make it valid, legal, and enforceable, and the remaining provisions of this Agreement shall continue in full force and effect.</w:t>
      </w:r>
    </w:p>
    <w:p>
      <w:pPr>
        <w:pStyle w:val="BodyText"/>
      </w:pPr>
      <w:r>
        <w:rPr>
          <w:bCs/>
          <w:b/>
        </w:rPr>
        <w:t xml:space="preserve">15.2 Amendment.</w:t>
      </w:r>
      <w:r>
        <w:t xml:space="preserve"> </w:t>
      </w:r>
      <w:r>
        <w:t xml:space="preserve">This Agreement may not be amended, modified, or supplemented except by a written instrument signed by authorized representatives of both Parties.</w:t>
      </w:r>
    </w:p>
    <w:p>
      <w:pPr>
        <w:pStyle w:val="BodyText"/>
      </w:pPr>
      <w:r>
        <w:rPr>
          <w:bCs/>
          <w:b/>
        </w:rPr>
        <w:t xml:space="preserve">15.3 Assignment.</w:t>
      </w:r>
      <w:r>
        <w:t xml:space="preserve"> </w:t>
      </w:r>
      <w:r>
        <w:t xml:space="preserve">The Receiving Party shall not assign, transfer, delegate, or otherwise dispose of any of its rights or obligations under this Agreement, in whole or in part, without the prior written consent of Dish N Dash. Any attempted assignment in violation of this Clause shall be null and void. Dish N Dash may assign this Agreement freely in connection with a merger, acquisition, reorganization, or sale of all or substantially all of its assets.</w:t>
      </w:r>
    </w:p>
    <w:p>
      <w:pPr>
        <w:pStyle w:val="BodyText"/>
      </w:pPr>
      <w:r>
        <w:rPr>
          <w:bCs/>
          <w:b/>
        </w:rPr>
        <w:t xml:space="preserve">15.4 Entire Agreement.</w:t>
      </w:r>
      <w:r>
        <w:t xml:space="preserve"> </w:t>
      </w:r>
      <w:r>
        <w:t xml:space="preserve">This Agreement constitutes the entire agreement between the Parties with respect to the subject matter hereof and supersedes all prior and contemporaneous understandings, agreements, negotiations, representations, and warranties, both written and oral, with respect to such subject matter.</w:t>
      </w:r>
    </w:p>
    <w:p>
      <w:pPr>
        <w:pStyle w:val="BodyText"/>
      </w:pPr>
      <w:r>
        <w:rPr>
          <w:bCs/>
          <w:b/>
        </w:rPr>
        <w:t xml:space="preserve">15.5 Counterparts.</w:t>
      </w:r>
      <w:r>
        <w:t xml:space="preserve"> </w:t>
      </w:r>
      <w:r>
        <w:t xml:space="preserve">This Agreement may be executed in counterparts, each of which shall be deemed an original, and all of which together shall constitute one and the same instrument. Electronic signatures and scanned copies shall be deemed equivalent to originals for all purposes.</w:t>
      </w:r>
    </w:p>
    <w:p>
      <w:pPr>
        <w:pStyle w:val="BodyText"/>
      </w:pPr>
      <w:r>
        <w:rPr>
          <w:bCs/>
          <w:b/>
        </w:rPr>
        <w:t xml:space="preserve">15.6 Notices.</w:t>
      </w:r>
      <w:r>
        <w:t xml:space="preserve"> </w:t>
      </w:r>
      <w:r>
        <w:t xml:space="preserve">All notices under this Agreement shall be in writing and shall be deemed duly given when delivered personally, sent by registered mail, or transmitted by email with confirmation of receipt, to the addresses set forth above or to such other address as either Party may designate in writing.</w:t>
      </w:r>
    </w:p>
    <w:p>
      <w:pPr>
        <w:pStyle w:val="BodyText"/>
      </w:pPr>
      <w:r>
        <w:rPr>
          <w:bCs/>
          <w:b/>
        </w:rPr>
        <w:t xml:space="preserve">15.7 Interpretation.</w:t>
      </w:r>
      <w:r>
        <w:t xml:space="preserve"> </w:t>
      </w:r>
      <w:r>
        <w:t xml:space="preserve">The headings in this Agreement are for convenience of reference only and shall not affect the interpretation of this Agreement. The word</w:t>
      </w:r>
      <w:r>
        <w:t xml:space="preserve"> </w:t>
      </w:r>
      <w:r>
        <w:t xml:space="preserve">“</w:t>
      </w:r>
      <w:r>
        <w:t xml:space="preserve">including</w:t>
      </w:r>
      <w:r>
        <w:t xml:space="preserve">”</w:t>
      </w:r>
      <w:r>
        <w:t xml:space="preserve"> </w:t>
      </w:r>
      <w:r>
        <w:t xml:space="preserve">shall mean</w:t>
      </w:r>
      <w:r>
        <w:t xml:space="preserve"> </w:t>
      </w:r>
      <w:r>
        <w:t xml:space="preserve">“</w:t>
      </w:r>
      <w:r>
        <w:t xml:space="preserve">including, without limitation.</w:t>
      </w:r>
      <w:r>
        <w:t xml:space="preserve">”</w:t>
      </w:r>
      <w:r>
        <w:t xml:space="preserve"> </w:t>
      </w:r>
      <w:r>
        <w:t xml:space="preserve">References to</w:t>
      </w:r>
      <w:r>
        <w:t xml:space="preserve"> </w:t>
      </w:r>
      <w:r>
        <w:t xml:space="preserve">“</w:t>
      </w:r>
      <w:r>
        <w:t xml:space="preserve">written</w:t>
      </w:r>
      <w:r>
        <w:t xml:space="preserve">”</w:t>
      </w:r>
      <w:r>
        <w:t xml:space="preserve"> </w:t>
      </w:r>
      <w:r>
        <w:t xml:space="preserve">or</w:t>
      </w:r>
      <w:r>
        <w:t xml:space="preserve"> </w:t>
      </w:r>
      <w:r>
        <w:t xml:space="preserve">“</w:t>
      </w:r>
      <w:r>
        <w:t xml:space="preserve">in writing</w:t>
      </w:r>
      <w:r>
        <w:t xml:space="preserve">”</w:t>
      </w:r>
      <w:r>
        <w:t xml:space="preserve"> </w:t>
      </w:r>
      <w:r>
        <w:t xml:space="preserve">shall include electronic communications where appropriate under applicable law.</w:t>
      </w:r>
    </w:p>
    <w:p>
      <w:r>
        <w:pict>
          <v:rect style="width:0;height:1.5pt" o:hralign="center" o:hrstd="t" o:hr="t"/>
        </w:pict>
      </w:r>
    </w:p>
    <w:bookmarkEnd w:id="35"/>
    <w:bookmarkStart w:id="36" w:name="governing-law-and-jurisdiction"/>
    <w:p>
      <w:pPr>
        <w:pStyle w:val="Heading3"/>
      </w:pPr>
      <w:r>
        <w:t xml:space="preserve">16. GOVERNING LAW AND JURISDICTION</w:t>
      </w:r>
    </w:p>
    <w:p>
      <w:pPr>
        <w:pStyle w:val="FirstParagraph"/>
      </w:pPr>
      <w:r>
        <w:t xml:space="preserve">16.1 This Agreement shall be governed by and construed in accordance with the laws of [Governing Law, e.g., the Kingdom of Saudi Arabia / England and Wales / other jurisdiction], without regard to its conflict of laws principles.</w:t>
      </w:r>
    </w:p>
    <w:p>
      <w:pPr>
        <w:pStyle w:val="BodyText"/>
      </w:pPr>
      <w:r>
        <w:t xml:space="preserve">16.2 Any dispute arising out of or in connection with this Agreement, including any question regarding its existence, validity, or termination, shall be submitted to the exclusive jurisdiction of the courts of [Jurisdiction / Dispute Forum, e.g., the competent courts of Riyadh, Kingdom of Saudi Arabia / the courts of England and Wales / arbitration under specified rules].</w:t>
      </w:r>
    </w:p>
    <w:p>
      <w:pPr>
        <w:pStyle w:val="BodyText"/>
      </w:pPr>
      <w:r>
        <w:t xml:space="preserve">16.3</w:t>
      </w:r>
      <w:r>
        <w:t xml:space="preserve"> </w:t>
      </w:r>
      <w:r>
        <w:rPr>
          <w:iCs/>
          <w:i/>
        </w:rPr>
        <w:t xml:space="preserve">Drafting Note for Saudi-based use</w:t>
      </w:r>
      <w:r>
        <w:t xml:space="preserve">: Where the Receiving Party is located outside the Kingdom of Saudi Arabia, the Parties may wish to consider arbitration under recognized international rules (such as the rules of the Saudi Center for Commercial Arbitration, the ICC, or the LCIA) as an alternative to court proceedings, to facilitate cross-border enforcement.</w:t>
      </w:r>
    </w:p>
    <w:p>
      <w:r>
        <w:pict>
          <v:rect style="width:0;height:1.5pt" o:hralign="center" o:hrstd="t" o:hr="t"/>
        </w:pict>
      </w:r>
    </w:p>
    <w:bookmarkEnd w:id="36"/>
    <w:bookmarkStart w:id="37" w:name="signature-blocks"/>
    <w:p>
      <w:pPr>
        <w:pStyle w:val="Heading3"/>
      </w:pPr>
      <w:r>
        <w:t xml:space="preserve">SIGNATURE BLOCKS</w:t>
      </w:r>
    </w:p>
    <w:p>
      <w:pPr>
        <w:pStyle w:val="FirstParagraph"/>
      </w:pPr>
      <w:r>
        <w:rPr>
          <w:bCs/>
          <w:b/>
        </w:rPr>
        <w:t xml:space="preserve">IN WITNESS WHEREOF</w:t>
      </w:r>
      <w:r>
        <w:t xml:space="preserve">, the Parties have executed this Non-Disclosure Agreement as of the Effective Date.</w:t>
      </w:r>
    </w:p>
    <w:p>
      <w:pPr>
        <w:pStyle w:val="BodyText"/>
      </w:pPr>
      <w:r>
        <w:t xml:space="preserve"> </w:t>
      </w:r>
    </w:p>
    <w:p>
      <w:pPr>
        <w:pStyle w:val="BodyText"/>
      </w:pPr>
      <w:r>
        <w:rPr>
          <w:bCs/>
          <w:b/>
        </w:rPr>
        <w:t xml:space="preserve">DISCLOSING PARTY: DISH N DASH</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Signature:</w:t>
            </w:r>
          </w:p>
        </w:tc>
        <w:tc>
          <w:tcPr/>
          <w:p>
            <w:pPr>
              <w:pStyle w:val="Compact"/>
              <w:jc w:val="left"/>
            </w:pPr>
            <w:r>
              <w:t xml:space="preserve">_________________________</w:t>
            </w:r>
          </w:p>
        </w:tc>
      </w:tr>
      <w:tr>
        <w:tc>
          <w:tcPr/>
          <w:p>
            <w:pPr>
              <w:pStyle w:val="Compact"/>
              <w:jc w:val="left"/>
            </w:pPr>
            <w:r>
              <w:t xml:space="preserve">Name:</w:t>
            </w:r>
          </w:p>
        </w:tc>
        <w:tc>
          <w:tcPr/>
          <w:p>
            <w:pPr>
              <w:pStyle w:val="Compact"/>
              <w:jc w:val="left"/>
            </w:pPr>
            <w:r>
              <w:t xml:space="preserve">[Full Name]</w:t>
            </w:r>
          </w:p>
        </w:tc>
      </w:tr>
      <w:tr>
        <w:tc>
          <w:tcPr/>
          <w:p>
            <w:pPr>
              <w:pStyle w:val="Compact"/>
              <w:jc w:val="left"/>
            </w:pPr>
            <w:r>
              <w:t xml:space="preserve">Title:</w:t>
            </w:r>
          </w:p>
        </w:tc>
        <w:tc>
          <w:tcPr/>
          <w:p>
            <w:pPr>
              <w:pStyle w:val="Compact"/>
              <w:jc w:val="left"/>
            </w:pPr>
            <w:r>
              <w:t xml:space="preserve">[Title / Position]</w:t>
            </w:r>
          </w:p>
        </w:tc>
      </w:tr>
      <w:tr>
        <w:tc>
          <w:tcPr/>
          <w:p>
            <w:pPr>
              <w:pStyle w:val="Compact"/>
              <w:jc w:val="left"/>
            </w:pPr>
            <w:r>
              <w:t xml:space="preserve">Date:</w:t>
            </w:r>
          </w:p>
        </w:tc>
        <w:tc>
          <w:tcPr/>
          <w:p>
            <w:pPr>
              <w:pStyle w:val="Compact"/>
              <w:jc w:val="left"/>
            </w:pPr>
            <w:r>
              <w:t xml:space="preserve">[Date]</w:t>
            </w:r>
          </w:p>
        </w:tc>
      </w:tr>
    </w:tbl>
    <w:p>
      <w:pPr>
        <w:pStyle w:val="BodyText"/>
      </w:pPr>
      <w:r>
        <w:t xml:space="preserve"> </w:t>
      </w:r>
    </w:p>
    <w:p>
      <w:pPr>
        <w:pStyle w:val="BodyText"/>
      </w:pPr>
      <w:r>
        <w:rPr>
          <w:bCs/>
          <w:b/>
        </w:rPr>
        <w:t xml:space="preserve">RECEIVING PARTY: [RECEIVING PARTY NAME]</w:t>
      </w:r>
    </w:p>
    <w:tbl>
      <w:tblPr>
        <w:tblStyle w:val="Table"/>
        <w:tblW w:type="auto" w:w="0"/>
        <w:tblLook w:firstRow="0" w:lastRow="0" w:firstColumn="0" w:lastColumn="0" w:noHBand="0" w:noVBand="0" w:val="0000"/>
        <w:jc w:val="start"/>
      </w:tblPr>
      <w:tblGrid>
        <w:gridCol w:w="3960"/>
        <w:gridCol w:w="3960"/>
      </w:tblGrid>
      <w:tr>
        <w:tc>
          <w:tcPr/>
          <w:p>
            <w:pPr>
              <w:pStyle w:val="Compact"/>
              <w:jc w:val="left"/>
            </w:pPr>
            <w:r>
              <w:t xml:space="preserve">Signature:</w:t>
            </w:r>
          </w:p>
        </w:tc>
        <w:tc>
          <w:tcPr/>
          <w:p>
            <w:pPr>
              <w:pStyle w:val="Compact"/>
              <w:jc w:val="left"/>
            </w:pPr>
            <w:r>
              <w:t xml:space="preserve">_________________________</w:t>
            </w:r>
          </w:p>
        </w:tc>
      </w:tr>
      <w:tr>
        <w:tc>
          <w:tcPr/>
          <w:p>
            <w:pPr>
              <w:pStyle w:val="Compact"/>
              <w:jc w:val="left"/>
            </w:pPr>
            <w:r>
              <w:t xml:space="preserve">Name:</w:t>
            </w:r>
          </w:p>
        </w:tc>
        <w:tc>
          <w:tcPr/>
          <w:p>
            <w:pPr>
              <w:pStyle w:val="Compact"/>
              <w:jc w:val="left"/>
            </w:pPr>
            <w:r>
              <w:t xml:space="preserve">[Full Name]</w:t>
            </w:r>
          </w:p>
        </w:tc>
      </w:tr>
      <w:tr>
        <w:tc>
          <w:tcPr/>
          <w:p>
            <w:pPr>
              <w:pStyle w:val="Compact"/>
              <w:jc w:val="left"/>
            </w:pPr>
            <w:r>
              <w:t xml:space="preserve">Title:</w:t>
            </w:r>
          </w:p>
        </w:tc>
        <w:tc>
          <w:tcPr/>
          <w:p>
            <w:pPr>
              <w:pStyle w:val="Compact"/>
              <w:jc w:val="left"/>
            </w:pPr>
            <w:r>
              <w:t xml:space="preserve">[Title / Position]</w:t>
            </w:r>
          </w:p>
        </w:tc>
      </w:tr>
      <w:tr>
        <w:tc>
          <w:tcPr/>
          <w:p>
            <w:pPr>
              <w:pStyle w:val="Compact"/>
              <w:jc w:val="left"/>
            </w:pPr>
            <w:r>
              <w:t xml:space="preserve">Date:</w:t>
            </w:r>
          </w:p>
        </w:tc>
        <w:tc>
          <w:tcPr/>
          <w:p>
            <w:pPr>
              <w:pStyle w:val="Compact"/>
              <w:jc w:val="left"/>
            </w:pPr>
            <w:r>
              <w:t xml:space="preserve">[Date]</w:t>
            </w:r>
          </w:p>
        </w:tc>
      </w:tr>
    </w:tbl>
    <w:p>
      <w:r>
        <w:pict>
          <v:rect style="width:0;height:1.5pt" o:hralign="center" o:hrstd="t" o:hr="t"/>
        </w:pict>
      </w:r>
    </w:p>
    <w:p>
      <w:pPr>
        <w:pStyle w:val="FirstParagraph"/>
      </w:pPr>
      <w:r>
        <w:rPr>
          <w:iCs/>
          <w:i/>
        </w:rPr>
        <w:t xml:space="preserve">End of Agreement</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2026-03-20T13:05:07Z</dcterms:created>
  <dcterms:modified xsi:type="dcterms:W3CDTF">2026-03-20T13:05:07Z</dcterms:modified>
</cp:coreProperties>
</file>

<file path=docProps/custom.xml><?xml version="1.0" encoding="utf-8"?>
<Properties xmlns="http://schemas.openxmlformats.org/officeDocument/2006/custom-properties" xmlns:vt="http://schemas.openxmlformats.org/officeDocument/2006/docPropsVTypes"/>
</file>