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800" w:lineRule="exact"/>
      </w:pPr>
      <w:r>
        <w:rPr>
          <w:rFonts w:ascii="맑은 고딕" w:hAnsi="맑은 고딕" w:eastAsia="맑은 고딕" w:cs="맑은 고딕"/>
          <w:b/>
          <w:color w:val="17365D"/>
          <w:sz w:val="64"/>
        </w:rPr>
        <w:t>이사회 매출 보고 요약</w:t>
      </w:r>
    </w:p>
    <w:p>
      <w:pPr>
        <w:spacing w:after="120" w:line="440" w:lineRule="exact"/>
      </w:pPr>
      <w:r>
        <w:rPr>
          <w:rFonts w:ascii="맑은 고딕" w:hAnsi="맑은 고딕" w:eastAsia="맑은 고딕" w:cs="맑은 고딕"/>
          <w:b w:val="0"/>
          <w:color w:val="243345"/>
          <w:sz w:val="36"/>
        </w:rPr>
        <w:t>2026년 7~9월  /  3개 매장·14개 품목·78건</w:t>
      </w:r>
    </w:p>
    <w:p>
      <w:pPr>
        <w:spacing w:after="160" w:line="440" w:lineRule="exact"/>
      </w:pPr>
      <w:r>
        <w:rPr>
          <w:rFonts w:ascii="맑은 고딕" w:hAnsi="맑은 고딕" w:eastAsia="맑은 고딕" w:cs="맑은 고딕"/>
          <w:b/>
          <w:color w:val="2E66B3"/>
          <w:sz w:val="36"/>
        </w:rPr>
        <w:t>총매출 9,610,500원  /  9월 전월 대비 −2.6%</w:t>
      </w:r>
    </w:p>
    <w:p>
      <w:pPr>
        <w:spacing w:after="80" w:line="440" w:lineRule="exact"/>
      </w:pPr>
      <w:r>
        <w:rPr>
          <w:rFonts w:ascii="맑은 고딕" w:hAnsi="맑은 고딕" w:eastAsia="맑은 고딕" w:cs="맑은 고딕"/>
          <w:b/>
          <w:color w:val="17365D"/>
          <w:sz w:val="36"/>
        </w:rPr>
        <w:t>매장별·월별 매출 (단위: 만원)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46"/>
        <w:gridCol w:w="2059"/>
        <w:gridCol w:w="2059"/>
        <w:gridCol w:w="2059"/>
        <w:gridCol w:w="2059"/>
      </w:tblGrid>
      <w:tr>
        <w:tc>
          <w:tcPr>
            <w:tcW w:type="dxa" w:w="2246"/>
            <w:shd w:fill="17365D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6"/>
              </w:rPr>
              <w:t>매장</w:t>
            </w:r>
          </w:p>
        </w:tc>
        <w:tc>
          <w:tcPr>
            <w:tcW w:type="dxa" w:w="2059"/>
            <w:shd w:fill="17365D"/>
          </w:tcPr>
          <w:p>
            <w:pPr>
              <w:spacing w:after="40" w:before="40"/>
              <w:jc w:val="righ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6"/>
              </w:rPr>
              <w:t>7월</w:t>
            </w:r>
          </w:p>
        </w:tc>
        <w:tc>
          <w:tcPr>
            <w:tcW w:type="dxa" w:w="2059"/>
            <w:shd w:fill="17365D"/>
          </w:tcPr>
          <w:p>
            <w:pPr>
              <w:spacing w:after="40" w:before="40"/>
              <w:jc w:val="righ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6"/>
              </w:rPr>
              <w:t>8월</w:t>
            </w:r>
          </w:p>
        </w:tc>
        <w:tc>
          <w:tcPr>
            <w:tcW w:type="dxa" w:w="2059"/>
            <w:shd w:fill="17365D"/>
          </w:tcPr>
          <w:p>
            <w:pPr>
              <w:spacing w:after="40" w:before="40"/>
              <w:jc w:val="righ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6"/>
              </w:rPr>
              <w:t>9월</w:t>
            </w:r>
          </w:p>
        </w:tc>
        <w:tc>
          <w:tcPr>
            <w:tcW w:type="dxa" w:w="2059"/>
            <w:shd w:fill="17365D"/>
          </w:tcPr>
          <w:p>
            <w:pPr>
              <w:spacing w:after="40" w:before="40"/>
              <w:jc w:val="righ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6"/>
              </w:rPr>
              <w:t>합계</w:t>
            </w:r>
          </w:p>
        </w:tc>
      </w:tr>
      <w:tr>
        <w:tc>
          <w:tcPr>
            <w:tcW w:type="dxa" w:w="2246"/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243345"/>
                <w:sz w:val="36"/>
              </w:rPr>
              <w:t>1호점</w:t>
            </w:r>
          </w:p>
        </w:tc>
        <w:tc>
          <w:tcPr>
            <w:tcW w:type="dxa" w:w="2059"/>
            <w:shd w:fill="FFFFFF"/>
          </w:tcPr>
          <w:p>
            <w:pPr>
              <w:spacing w:after="40" w:before="40"/>
              <w:jc w:val="right"/>
            </w:pPr>
            <w:r>
              <w:rPr>
                <w:rFonts w:ascii="맑은 고딕" w:hAnsi="맑은 고딕" w:eastAsia="맑은 고딕" w:cs="맑은 고딕"/>
                <w:b w:val="0"/>
                <w:color w:val="243345"/>
                <w:sz w:val="36"/>
              </w:rPr>
              <w:t>98.80</w:t>
            </w:r>
          </w:p>
        </w:tc>
        <w:tc>
          <w:tcPr>
            <w:tcW w:type="dxa" w:w="2059"/>
            <w:shd w:fill="FFFFFF"/>
          </w:tcPr>
          <w:p>
            <w:pPr>
              <w:spacing w:after="40" w:before="40"/>
              <w:jc w:val="right"/>
            </w:pPr>
            <w:r>
              <w:rPr>
                <w:rFonts w:ascii="맑은 고딕" w:hAnsi="맑은 고딕" w:eastAsia="맑은 고딕" w:cs="맑은 고딕"/>
                <w:b w:val="0"/>
                <w:color w:val="243345"/>
                <w:sz w:val="36"/>
              </w:rPr>
              <w:t>155.15</w:t>
            </w:r>
          </w:p>
        </w:tc>
        <w:tc>
          <w:tcPr>
            <w:tcW w:type="dxa" w:w="2059"/>
            <w:shd w:fill="FFFFFF"/>
          </w:tcPr>
          <w:p>
            <w:pPr>
              <w:spacing w:after="40" w:before="40"/>
              <w:jc w:val="right"/>
            </w:pPr>
            <w:r>
              <w:rPr>
                <w:rFonts w:ascii="맑은 고딕" w:hAnsi="맑은 고딕" w:eastAsia="맑은 고딕" w:cs="맑은 고딕"/>
                <w:b w:val="0"/>
                <w:color w:val="243345"/>
                <w:sz w:val="36"/>
              </w:rPr>
              <w:t>87.15</w:t>
            </w:r>
          </w:p>
        </w:tc>
        <w:tc>
          <w:tcPr>
            <w:tcW w:type="dxa" w:w="2059"/>
            <w:shd w:fill="FFFFFF"/>
          </w:tcPr>
          <w:p>
            <w:pPr>
              <w:spacing w:after="40" w:before="40"/>
              <w:jc w:val="right"/>
            </w:pPr>
            <w:r>
              <w:rPr>
                <w:rFonts w:ascii="맑은 고딕" w:hAnsi="맑은 고딕" w:eastAsia="맑은 고딕" w:cs="맑은 고딕"/>
                <w:b w:val="0"/>
                <w:color w:val="243345"/>
                <w:sz w:val="36"/>
              </w:rPr>
              <w:t>341.10</w:t>
            </w:r>
          </w:p>
        </w:tc>
      </w:tr>
      <w:tr>
        <w:tc>
          <w:tcPr>
            <w:tcW w:type="dxa" w:w="2246"/>
            <w:shd w:fill="F3F6FA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243345"/>
                <w:sz w:val="36"/>
              </w:rPr>
              <w:t>배론점</w:t>
            </w:r>
          </w:p>
        </w:tc>
        <w:tc>
          <w:tcPr>
            <w:tcW w:type="dxa" w:w="2059"/>
            <w:shd w:fill="F3F6FA"/>
          </w:tcPr>
          <w:p>
            <w:pPr>
              <w:spacing w:after="40" w:before="40"/>
              <w:jc w:val="right"/>
            </w:pPr>
            <w:r>
              <w:rPr>
                <w:rFonts w:ascii="맑은 고딕" w:hAnsi="맑은 고딕" w:eastAsia="맑은 고딕" w:cs="맑은 고딕"/>
                <w:b w:val="0"/>
                <w:color w:val="243345"/>
                <w:sz w:val="36"/>
              </w:rPr>
              <w:t>137.20</w:t>
            </w:r>
          </w:p>
        </w:tc>
        <w:tc>
          <w:tcPr>
            <w:tcW w:type="dxa" w:w="2059"/>
            <w:shd w:fill="F3F6FA"/>
          </w:tcPr>
          <w:p>
            <w:pPr>
              <w:spacing w:after="40" w:before="40"/>
              <w:jc w:val="right"/>
            </w:pPr>
            <w:r>
              <w:rPr>
                <w:rFonts w:ascii="맑은 고딕" w:hAnsi="맑은 고딕" w:eastAsia="맑은 고딕" w:cs="맑은 고딕"/>
                <w:b w:val="0"/>
                <w:color w:val="243345"/>
                <w:sz w:val="36"/>
              </w:rPr>
              <w:t>75.70</w:t>
            </w:r>
          </w:p>
        </w:tc>
        <w:tc>
          <w:tcPr>
            <w:tcW w:type="dxa" w:w="2059"/>
            <w:shd w:fill="F3F6FA"/>
          </w:tcPr>
          <w:p>
            <w:pPr>
              <w:spacing w:after="40" w:before="40"/>
              <w:jc w:val="right"/>
            </w:pPr>
            <w:r>
              <w:rPr>
                <w:rFonts w:ascii="맑은 고딕" w:hAnsi="맑은 고딕" w:eastAsia="맑은 고딕" w:cs="맑은 고딕"/>
                <w:b w:val="0"/>
                <w:color w:val="243345"/>
                <w:sz w:val="36"/>
              </w:rPr>
              <w:t>105.90</w:t>
            </w:r>
          </w:p>
        </w:tc>
        <w:tc>
          <w:tcPr>
            <w:tcW w:type="dxa" w:w="2059"/>
            <w:shd w:fill="F3F6FA"/>
          </w:tcPr>
          <w:p>
            <w:pPr>
              <w:spacing w:after="40" w:before="40"/>
              <w:jc w:val="right"/>
            </w:pPr>
            <w:r>
              <w:rPr>
                <w:rFonts w:ascii="맑은 고딕" w:hAnsi="맑은 고딕" w:eastAsia="맑은 고딕" w:cs="맑은 고딕"/>
                <w:b w:val="0"/>
                <w:color w:val="243345"/>
                <w:sz w:val="36"/>
              </w:rPr>
              <w:t>318.80</w:t>
            </w:r>
          </w:p>
        </w:tc>
      </w:tr>
      <w:tr>
        <w:tc>
          <w:tcPr>
            <w:tcW w:type="dxa" w:w="2246"/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243345"/>
                <w:sz w:val="36"/>
              </w:rPr>
              <w:t>이마트매장</w:t>
            </w:r>
          </w:p>
        </w:tc>
        <w:tc>
          <w:tcPr>
            <w:tcW w:type="dxa" w:w="2059"/>
            <w:shd w:fill="FFFFFF"/>
          </w:tcPr>
          <w:p>
            <w:pPr>
              <w:spacing w:after="40" w:before="40"/>
              <w:jc w:val="right"/>
            </w:pPr>
            <w:r>
              <w:rPr>
                <w:rFonts w:ascii="맑은 고딕" w:hAnsi="맑은 고딕" w:eastAsia="맑은 고딕" w:cs="맑은 고딕"/>
                <w:b w:val="0"/>
                <w:color w:val="243345"/>
                <w:sz w:val="36"/>
              </w:rPr>
              <w:t>91.20</w:t>
            </w:r>
          </w:p>
        </w:tc>
        <w:tc>
          <w:tcPr>
            <w:tcW w:type="dxa" w:w="2059"/>
            <w:shd w:fill="FFFFFF"/>
          </w:tcPr>
          <w:p>
            <w:pPr>
              <w:spacing w:after="40" w:before="40"/>
              <w:jc w:val="right"/>
            </w:pPr>
            <w:r>
              <w:rPr>
                <w:rFonts w:ascii="맑은 고딕" w:hAnsi="맑은 고딕" w:eastAsia="맑은 고딕" w:cs="맑은 고딕"/>
                <w:b w:val="0"/>
                <w:color w:val="243345"/>
                <w:sz w:val="36"/>
              </w:rPr>
              <w:t>90.20</w:t>
            </w:r>
          </w:p>
        </w:tc>
        <w:tc>
          <w:tcPr>
            <w:tcW w:type="dxa" w:w="2059"/>
            <w:shd w:fill="FFFFFF"/>
          </w:tcPr>
          <w:p>
            <w:pPr>
              <w:spacing w:after="40" w:before="40"/>
              <w:jc w:val="right"/>
            </w:pPr>
            <w:r>
              <w:rPr>
                <w:rFonts w:ascii="맑은 고딕" w:hAnsi="맑은 고딕" w:eastAsia="맑은 고딕" w:cs="맑은 고딕"/>
                <w:b w:val="0"/>
                <w:color w:val="243345"/>
                <w:sz w:val="36"/>
              </w:rPr>
              <w:t>119.75</w:t>
            </w:r>
          </w:p>
        </w:tc>
        <w:tc>
          <w:tcPr>
            <w:tcW w:type="dxa" w:w="2059"/>
            <w:shd w:fill="FFFFFF"/>
          </w:tcPr>
          <w:p>
            <w:pPr>
              <w:spacing w:after="40" w:before="40"/>
              <w:jc w:val="right"/>
            </w:pPr>
            <w:r>
              <w:rPr>
                <w:rFonts w:ascii="맑은 고딕" w:hAnsi="맑은 고딕" w:eastAsia="맑은 고딕" w:cs="맑은 고딕"/>
                <w:b w:val="0"/>
                <w:color w:val="243345"/>
                <w:sz w:val="36"/>
              </w:rPr>
              <w:t>301.15</w:t>
            </w:r>
          </w:p>
        </w:tc>
      </w:tr>
      <w:tr>
        <w:tc>
          <w:tcPr>
            <w:tcW w:type="dxa" w:w="2246"/>
            <w:shd w:fill="EAF0F8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43345"/>
                <w:sz w:val="36"/>
              </w:rPr>
              <w:t>합계</w:t>
            </w:r>
          </w:p>
        </w:tc>
        <w:tc>
          <w:tcPr>
            <w:tcW w:type="dxa" w:w="2059"/>
            <w:shd w:fill="EAF0F8"/>
          </w:tcPr>
          <w:p>
            <w:pPr>
              <w:spacing w:after="40" w:before="40"/>
              <w:jc w:val="right"/>
            </w:pPr>
            <w:r>
              <w:rPr>
                <w:rFonts w:ascii="맑은 고딕" w:hAnsi="맑은 고딕" w:eastAsia="맑은 고딕" w:cs="맑은 고딕"/>
                <w:b/>
                <w:color w:val="243345"/>
                <w:sz w:val="36"/>
              </w:rPr>
              <w:t>327.20</w:t>
            </w:r>
          </w:p>
        </w:tc>
        <w:tc>
          <w:tcPr>
            <w:tcW w:type="dxa" w:w="2059"/>
            <w:shd w:fill="EAF0F8"/>
          </w:tcPr>
          <w:p>
            <w:pPr>
              <w:spacing w:after="40" w:before="40"/>
              <w:jc w:val="right"/>
            </w:pPr>
            <w:r>
              <w:rPr>
                <w:rFonts w:ascii="맑은 고딕" w:hAnsi="맑은 고딕" w:eastAsia="맑은 고딕" w:cs="맑은 고딕"/>
                <w:b/>
                <w:color w:val="243345"/>
                <w:sz w:val="36"/>
              </w:rPr>
              <w:t>321.05</w:t>
            </w:r>
          </w:p>
        </w:tc>
        <w:tc>
          <w:tcPr>
            <w:tcW w:type="dxa" w:w="2059"/>
            <w:shd w:fill="EAF0F8"/>
          </w:tcPr>
          <w:p>
            <w:pPr>
              <w:spacing w:after="40" w:before="40"/>
              <w:jc w:val="right"/>
            </w:pPr>
            <w:r>
              <w:rPr>
                <w:rFonts w:ascii="맑은 고딕" w:hAnsi="맑은 고딕" w:eastAsia="맑은 고딕" w:cs="맑은 고딕"/>
                <w:b/>
                <w:color w:val="243345"/>
                <w:sz w:val="36"/>
              </w:rPr>
              <w:t>312.80</w:t>
            </w:r>
          </w:p>
        </w:tc>
        <w:tc>
          <w:tcPr>
            <w:tcW w:type="dxa" w:w="2059"/>
            <w:shd w:fill="EAF0F8"/>
          </w:tcPr>
          <w:p>
            <w:pPr>
              <w:spacing w:after="40" w:before="40"/>
              <w:jc w:val="right"/>
            </w:pPr>
            <w:r>
              <w:rPr>
                <w:rFonts w:ascii="맑은 고딕" w:hAnsi="맑은 고딕" w:eastAsia="맑은 고딕" w:cs="맑은 고딕"/>
                <w:b/>
                <w:color w:val="243345"/>
                <w:sz w:val="36"/>
              </w:rPr>
              <w:t>961.05</w:t>
            </w:r>
          </w:p>
        </w:tc>
      </w:tr>
    </w:tbl>
    <w:p>
      <w:pPr>
        <w:spacing w:after="0"/>
      </w:pPr>
    </w:p>
    <w:p>
      <w:pPr>
        <w:spacing w:after="80" w:line="440" w:lineRule="exact"/>
      </w:pPr>
      <w:r>
        <w:rPr>
          <w:rFonts w:ascii="맑은 고딕" w:hAnsi="맑은 고딕" w:eastAsia="맑은 고딕" w:cs="맑은 고딕"/>
          <w:b/>
          <w:color w:val="17365D"/>
          <w:sz w:val="36"/>
        </w:rPr>
        <w:t>주요 분석</w:t>
      </w:r>
    </w:p>
    <w:p>
      <w:pPr>
        <w:spacing w:after="100" w:line="440" w:lineRule="exact"/>
      </w:pPr>
      <w:r>
        <w:rPr>
          <w:rFonts w:ascii="맑은 고딕" w:hAnsi="맑은 고딕" w:eastAsia="맑은 고딕" w:cs="맑은 고딕"/>
          <w:b w:val="0"/>
          <w:color w:val="243345"/>
          <w:sz w:val="36"/>
        </w:rPr>
        <w:t>• 1호점 9월: 전월보다 680,000원 감소(−43.8%).</w:t>
        <w:br/>
        <w:t xml:space="preserve">  배론점 +39.9%, 이마트매장 +32.8%.</w:t>
      </w:r>
    </w:p>
    <w:p>
      <w:pPr>
        <w:spacing w:after="100" w:line="440" w:lineRule="exact"/>
      </w:pPr>
      <w:r>
        <w:rPr>
          <w:rFonts w:ascii="맑은 고딕" w:hAnsi="맑은 고딕" w:eastAsia="맑은 고딕" w:cs="맑은 고딕"/>
          <w:b w:val="0"/>
          <w:color w:val="243345"/>
          <w:sz w:val="36"/>
        </w:rPr>
        <w:t>• 사과·복숭아·포도 누계 5,715,000원(59.5%).</w:t>
        <w:br/>
        <w:t xml:space="preserve">  상추 9월은 전월 대비 40.2% 감소.</w:t>
      </w:r>
    </w:p>
    <w:p>
      <w:pPr>
        <w:spacing w:after="140" w:line="440" w:lineRule="exact"/>
      </w:pPr>
      <w:r>
        <w:rPr>
          <w:rFonts w:ascii="맑은 고딕" w:hAnsi="맑은 고딕" w:eastAsia="맑은 고딕" w:cs="맑은 고딕"/>
          <w:b w:val="0"/>
          <w:color w:val="243345"/>
          <w:sz w:val="36"/>
        </w:rPr>
        <w:t>• [추정] 출하 품목 전환의 영향 가능성.</w:t>
        <w:br/>
        <w:t xml:space="preserve">  출하·재고·방문객 자료로 원인 확인 필요.</w:t>
      </w:r>
    </w:p>
    <w:p>
      <w:pPr>
        <w:spacing w:after="80" w:line="440" w:lineRule="exact"/>
      </w:pPr>
      <w:r>
        <w:rPr>
          <w:rFonts w:ascii="맑은 고딕" w:hAnsi="맑은 고딕" w:eastAsia="맑은 고딕" w:cs="맑은 고딕"/>
          <w:b/>
          <w:color w:val="17365D"/>
          <w:sz w:val="36"/>
        </w:rPr>
        <w:t>개선 제안 및 이사회 검토사항</w:t>
      </w:r>
    </w:p>
    <w:p>
      <w:pPr>
        <w:spacing w:after="100" w:line="440" w:lineRule="exact"/>
      </w:pPr>
      <w:r>
        <w:rPr>
          <w:rFonts w:ascii="맑은 고딕" w:hAnsi="맑은 고딕" w:eastAsia="맑은 고딕" w:cs="맑은 고딕"/>
          <w:b w:val="0"/>
          <w:color w:val="243345"/>
          <w:sz w:val="36"/>
        </w:rPr>
        <w:t>1. 1호점 감소 원인 점검 및 사과·포도 판매 확대 검토.</w:t>
      </w:r>
    </w:p>
    <w:p>
      <w:pPr>
        <w:spacing w:after="140" w:line="440" w:lineRule="exact"/>
      </w:pPr>
      <w:r>
        <w:rPr>
          <w:rFonts w:ascii="맑은 고딕" w:hAnsi="맑은 고딕" w:eastAsia="맑은 고딕" w:cs="맑은 고딕"/>
          <w:b w:val="0"/>
          <w:color w:val="243345"/>
          <w:sz w:val="36"/>
        </w:rPr>
        <w:t>2. 기록 없는 품목·농가명 확인.</w:t>
        <w:br/>
        <w:t>담당자·기한 및 실행 여부는 이사회 검토 후 확정.</w:t>
      </w:r>
    </w:p>
    <w:p>
      <w:pPr>
        <w:spacing w:after="0" w:line="440" w:lineRule="exact"/>
      </w:pPr>
      <w:r>
        <w:rPr>
          <w:rFonts w:ascii="맑은 고딕" w:hAnsi="맑은 고딕" w:eastAsia="맑은 고딕" w:cs="맑은 고딕"/>
          <w:b w:val="0"/>
          <w:color w:val="243345"/>
          <w:sz w:val="36"/>
        </w:rPr>
        <w:t>자료: 정제본_판매데이터(1).xlsx 「정제본」</w:t>
        <w:br/>
        <w:t>제공 기록 기준. 전체 매출 포함 여부·판매 기록이 없는 월의 실제 판매 여부는 확인 필요. 농가명 미확인 1건 포함.</w:t>
      </w:r>
    </w:p>
    <w:sectPr w:rsidR="00FC693F" w:rsidRPr="0006063C" w:rsidSect="00034616">
      <w:pgSz w:w="11905" w:h="16838"/>
      <w:pgMar w:top="605" w:right="677" w:bottom="605" w:left="6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 w:after="80"/>
    </w:pPr>
    <w:rPr>
      <w:rFonts w:ascii="맑은 고딕" w:hAnsi="맑은 고딕" w:eastAsia="맑은 고딕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7~9월 직매장 매출 보고 요약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