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eo-executive-dashboard-srs-version-2.0"/>
    <w:p>
      <w:pPr>
        <w:pStyle w:val="Heading1"/>
      </w:pPr>
      <w:r>
        <w:t xml:space="preserve">CEO EXECUTIVE DASHBOARD SRS VERSION 2.0</w:t>
      </w:r>
    </w:p>
    <w:bookmarkEnd w:id="20"/>
    <w:bookmarkStart w:id="21" w:name="part-3"/>
    <w:p>
      <w:pPr>
        <w:pStyle w:val="Heading1"/>
      </w:pPr>
      <w:r>
        <w:t xml:space="preserve">PART 3</w:t>
      </w:r>
    </w:p>
    <w:p>
      <w:r>
        <w:pict>
          <v:rect style="width:0;height:1.5pt" o:hralign="center" o:hrstd="t" o:hr="t"/>
        </w:pict>
      </w:r>
    </w:p>
    <w:bookmarkEnd w:id="21"/>
    <w:bookmarkStart w:id="50" w:name="non-functional-requirements"/>
    <w:p>
      <w:pPr>
        <w:pStyle w:val="Heading1"/>
      </w:pPr>
      <w:r>
        <w:t xml:space="preserve">4. NON-FUNCTIONAL REQUIREMENTS</w:t>
      </w:r>
    </w:p>
    <w:bookmarkStart w:id="27" w:name="performance-requirements"/>
    <w:p>
      <w:pPr>
        <w:pStyle w:val="Heading2"/>
      </w:pPr>
      <w:r>
        <w:t xml:space="preserve">4.1 Performance Requirements</w:t>
      </w:r>
    </w:p>
    <w:bookmarkStart w:id="22" w:name="nfr-001-dashboard-load-time"/>
    <w:p>
      <w:pPr>
        <w:pStyle w:val="Heading3"/>
      </w:pPr>
      <w:r>
        <w:t xml:space="preserve">NFR-001 Dashboard Load Time</w:t>
      </w:r>
    </w:p>
    <w:p>
      <w:pPr>
        <w:pStyle w:val="FirstParagraph"/>
      </w:pPr>
      <w:r>
        <w:t xml:space="preserve">The dashboard shall load within:</w:t>
      </w:r>
    </w:p>
    <w:p>
      <w:pPr>
        <w:pStyle w:val="Compact"/>
        <w:numPr>
          <w:ilvl w:val="0"/>
          <w:numId w:val="1001"/>
        </w:numPr>
      </w:pPr>
      <w:r>
        <w:t xml:space="preserve">≤ 3 seconds for standard dashboard view</w:t>
      </w:r>
    </w:p>
    <w:p>
      <w:pPr>
        <w:pStyle w:val="Compact"/>
        <w:numPr>
          <w:ilvl w:val="0"/>
          <w:numId w:val="1001"/>
        </w:numPr>
      </w:pPr>
      <w:r>
        <w:t xml:space="preserve">≤ 5 seconds for complex dashboard views</w:t>
      </w:r>
    </w:p>
    <w:p>
      <w:pPr>
        <w:pStyle w:val="FirstParagraph"/>
      </w:pPr>
      <w:r>
        <w:t xml:space="preserve">under normal operating conditions.</w:t>
      </w:r>
    </w:p>
    <w:p>
      <w:r>
        <w:pict>
          <v:rect style="width:0;height:1.5pt" o:hralign="center" o:hrstd="t" o:hr="t"/>
        </w:pict>
      </w:r>
    </w:p>
    <w:bookmarkEnd w:id="22"/>
    <w:bookmarkStart w:id="23" w:name="nfr-002-widget-refresh-performance"/>
    <w:p>
      <w:pPr>
        <w:pStyle w:val="Heading3"/>
      </w:pPr>
      <w:r>
        <w:t xml:space="preserve">NFR-002 Widget Refresh Performance</w:t>
      </w:r>
    </w:p>
    <w:p>
      <w:pPr>
        <w:pStyle w:val="FirstParagraph"/>
      </w:pPr>
      <w:r>
        <w:t xml:space="preserve">Dashboard widgets shall refresh without full-page reload.</w:t>
      </w:r>
    </w:p>
    <w:p>
      <w:pPr>
        <w:pStyle w:val="BodyText"/>
      </w:pPr>
      <w:r>
        <w:t xml:space="preserve">Maximum refresh time:</w:t>
      </w:r>
    </w:p>
    <w:p>
      <w:pPr>
        <w:pStyle w:val="Compact"/>
        <w:numPr>
          <w:ilvl w:val="0"/>
          <w:numId w:val="1002"/>
        </w:numPr>
      </w:pPr>
      <w:r>
        <w:t xml:space="preserve">≤ 2 seconds</w:t>
      </w:r>
    </w:p>
    <w:p>
      <w:r>
        <w:pict>
          <v:rect style="width:0;height:1.5pt" o:hralign="center" o:hrstd="t" o:hr="t"/>
        </w:pict>
      </w:r>
    </w:p>
    <w:bookmarkEnd w:id="23"/>
    <w:bookmarkStart w:id="24" w:name="nfr-003-alert-delivery-latency"/>
    <w:p>
      <w:pPr>
        <w:pStyle w:val="Heading3"/>
      </w:pPr>
      <w:r>
        <w:t xml:space="preserve">NFR-003 Alert Delivery Latency</w:t>
      </w:r>
    </w:p>
    <w:p>
      <w:pPr>
        <w:pStyle w:val="FirstParagraph"/>
      </w:pPr>
      <w:r>
        <w:t xml:space="preserve">Critical alerts shall appear on the dashboard within:</w:t>
      </w:r>
    </w:p>
    <w:p>
      <w:pPr>
        <w:pStyle w:val="Compact"/>
        <w:numPr>
          <w:ilvl w:val="0"/>
          <w:numId w:val="1003"/>
        </w:numPr>
      </w:pPr>
      <w:r>
        <w:t xml:space="preserve">≤ 60 seconds</w:t>
      </w:r>
    </w:p>
    <w:p>
      <w:pPr>
        <w:pStyle w:val="FirstParagraph"/>
      </w:pPr>
      <w:r>
        <w:t xml:space="preserve">from the triggering event.</w:t>
      </w:r>
    </w:p>
    <w:p>
      <w:r>
        <w:pict>
          <v:rect style="width:0;height:1.5pt" o:hralign="center" o:hrstd="t" o:hr="t"/>
        </w:pict>
      </w:r>
    </w:p>
    <w:bookmarkEnd w:id="24"/>
    <w:bookmarkStart w:id="25" w:name="nfr-004-approval-processing-performance"/>
    <w:p>
      <w:pPr>
        <w:pStyle w:val="Heading3"/>
      </w:pPr>
      <w:r>
        <w:t xml:space="preserve">NFR-004 Approval Processing Performance</w:t>
      </w:r>
    </w:p>
    <w:p>
      <w:pPr>
        <w:pStyle w:val="FirstParagraph"/>
      </w:pPr>
      <w:r>
        <w:t xml:space="preserve">Approval actions shall complete within:</w:t>
      </w:r>
    </w:p>
    <w:p>
      <w:pPr>
        <w:pStyle w:val="Compact"/>
        <w:numPr>
          <w:ilvl w:val="0"/>
          <w:numId w:val="1004"/>
        </w:numPr>
      </w:pPr>
      <w:r>
        <w:t xml:space="preserve">≤ 2 seconds</w:t>
      </w:r>
    </w:p>
    <w:p>
      <w:pPr>
        <w:pStyle w:val="FirstParagraph"/>
      </w:pPr>
      <w:r>
        <w:t xml:space="preserve">excluding notification delivery time.</w:t>
      </w:r>
    </w:p>
    <w:p>
      <w:r>
        <w:pict>
          <v:rect style="width:0;height:1.5pt" o:hralign="center" o:hrstd="t" o:hr="t"/>
        </w:pict>
      </w:r>
    </w:p>
    <w:bookmarkEnd w:id="25"/>
    <w:bookmarkStart w:id="26" w:name="nfr-005-report-generation"/>
    <w:p>
      <w:pPr>
        <w:pStyle w:val="Heading3"/>
      </w:pPr>
      <w:r>
        <w:t xml:space="preserve">NFR-005 Report Generation</w:t>
      </w:r>
    </w:p>
    <w:p>
      <w:pPr>
        <w:pStyle w:val="FirstParagraph"/>
      </w:pPr>
      <w:r>
        <w:t xml:space="preserve">Executive reports shall be generated within:</w:t>
      </w:r>
    </w:p>
    <w:p>
      <w:pPr>
        <w:pStyle w:val="Compact"/>
        <w:numPr>
          <w:ilvl w:val="0"/>
          <w:numId w:val="1005"/>
        </w:numPr>
      </w:pPr>
      <w:r>
        <w:t xml:space="preserve">≤ 30 seconds</w:t>
      </w:r>
    </w:p>
    <w:p>
      <w:pPr>
        <w:pStyle w:val="FirstParagraph"/>
      </w:pPr>
      <w:r>
        <w:t xml:space="preserve">for reports covering one year of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alability-requirements"/>
    <w:p>
      <w:pPr>
        <w:pStyle w:val="Heading2"/>
      </w:pPr>
      <w:r>
        <w:t xml:space="preserve">4.2 Scalability Requirements</w:t>
      </w:r>
    </w:p>
    <w:bookmarkStart w:id="28" w:name="nfr-006-user-scalability"/>
    <w:p>
      <w:pPr>
        <w:pStyle w:val="Heading3"/>
      </w:pPr>
      <w:r>
        <w:t xml:space="preserve">NFR-006 User Scalability</w:t>
      </w:r>
    </w:p>
    <w:p>
      <w:pPr>
        <w:pStyle w:val="FirstParagraph"/>
      </w:pPr>
      <w:r>
        <w:t xml:space="preserve">The platform shall support:</w:t>
      </w:r>
    </w:p>
    <w:p>
      <w:pPr>
        <w:pStyle w:val="Compact"/>
        <w:numPr>
          <w:ilvl w:val="0"/>
          <w:numId w:val="1006"/>
        </w:numPr>
      </w:pPr>
      <w:r>
        <w:t xml:space="preserve">500 concurrent users</w:t>
      </w:r>
    </w:p>
    <w:p>
      <w:pPr>
        <w:pStyle w:val="Compact"/>
        <w:numPr>
          <w:ilvl w:val="0"/>
          <w:numId w:val="1006"/>
        </w:numPr>
      </w:pPr>
      <w:r>
        <w:t xml:space="preserve">50 concurrent executive users</w:t>
      </w:r>
    </w:p>
    <w:p>
      <w:pPr>
        <w:pStyle w:val="FirstParagraph"/>
      </w:pPr>
      <w:r>
        <w:t xml:space="preserve">without performance degradation.</w:t>
      </w:r>
    </w:p>
    <w:p>
      <w:r>
        <w:pict>
          <v:rect style="width:0;height:1.5pt" o:hralign="center" o:hrstd="t" o:hr="t"/>
        </w:pict>
      </w:r>
    </w:p>
    <w:bookmarkEnd w:id="28"/>
    <w:bookmarkStart w:id="29" w:name="nfr-007-sector-scalability"/>
    <w:p>
      <w:pPr>
        <w:pStyle w:val="Heading3"/>
      </w:pPr>
      <w:r>
        <w:t xml:space="preserve">NFR-007 Sector Scalability</w:t>
      </w:r>
    </w:p>
    <w:p>
      <w:pPr>
        <w:pStyle w:val="FirstParagraph"/>
      </w:pPr>
      <w:r>
        <w:t xml:space="preserve">The architecture shall support:</w:t>
      </w:r>
    </w:p>
    <w:p>
      <w:pPr>
        <w:pStyle w:val="Compact"/>
        <w:numPr>
          <w:ilvl w:val="0"/>
          <w:numId w:val="1007"/>
        </w:numPr>
      </w:pPr>
      <w:r>
        <w:t xml:space="preserve">Minimum 20 business sectors</w:t>
      </w:r>
    </w:p>
    <w:p>
      <w:pPr>
        <w:pStyle w:val="FirstParagraph"/>
      </w:pPr>
      <w:r>
        <w:t xml:space="preserve">without database redesign.</w:t>
      </w:r>
    </w:p>
    <w:p>
      <w:r>
        <w:pict>
          <v:rect style="width:0;height:1.5pt" o:hralign="center" o:hrstd="t" o:hr="t"/>
        </w:pict>
      </w:r>
    </w:p>
    <w:bookmarkEnd w:id="29"/>
    <w:bookmarkStart w:id="30" w:name="nfr-008-historical-data-scalability"/>
    <w:p>
      <w:pPr>
        <w:pStyle w:val="Heading3"/>
      </w:pPr>
      <w:r>
        <w:t xml:space="preserve">NFR-008 Historical Data Scalability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08"/>
        </w:numPr>
      </w:pPr>
      <w:r>
        <w:t xml:space="preserve">7 years of financial history</w:t>
      </w:r>
    </w:p>
    <w:p>
      <w:pPr>
        <w:pStyle w:val="Compact"/>
        <w:numPr>
          <w:ilvl w:val="0"/>
          <w:numId w:val="1008"/>
        </w:numPr>
      </w:pPr>
      <w:r>
        <w:t xml:space="preserve">7 years of approval history</w:t>
      </w:r>
    </w:p>
    <w:p>
      <w:pPr>
        <w:pStyle w:val="Compact"/>
        <w:numPr>
          <w:ilvl w:val="0"/>
          <w:numId w:val="1008"/>
        </w:numPr>
      </w:pPr>
      <w:r>
        <w:t xml:space="preserve">7 years of audit history</w:t>
      </w:r>
    </w:p>
    <w:p>
      <w:pPr>
        <w:pStyle w:val="FirstParagraph"/>
      </w:pPr>
      <w:r>
        <w:t xml:space="preserve">without loss of functionality.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liability-requirements"/>
    <w:p>
      <w:pPr>
        <w:pStyle w:val="Heading2"/>
      </w:pPr>
      <w:r>
        <w:t xml:space="preserve">4.3 Reliability Requirements</w:t>
      </w:r>
    </w:p>
    <w:bookmarkStart w:id="32" w:name="nfr-009-system-availability"/>
    <w:p>
      <w:pPr>
        <w:pStyle w:val="Heading3"/>
      </w:pPr>
      <w:r>
        <w:t xml:space="preserve">NFR-009 System Availability</w:t>
      </w:r>
    </w:p>
    <w:p>
      <w:pPr>
        <w:pStyle w:val="FirstParagraph"/>
      </w:pPr>
      <w:r>
        <w:t xml:space="preserve">Target Availability:</w:t>
      </w:r>
    </w:p>
    <w:p>
      <w:pPr>
        <w:pStyle w:val="BodyText"/>
      </w:pPr>
      <w:r>
        <w:t xml:space="preserve">99.5% monthly uptime</w:t>
      </w:r>
    </w:p>
    <w:p>
      <w:pPr>
        <w:pStyle w:val="BodyText"/>
      </w:pPr>
      <w:r>
        <w:t xml:space="preserve">excluding planned maintenance.</w:t>
      </w:r>
    </w:p>
    <w:p>
      <w:r>
        <w:pict>
          <v:rect style="width:0;height:1.5pt" o:hralign="center" o:hrstd="t" o:hr="t"/>
        </w:pict>
      </w:r>
    </w:p>
    <w:bookmarkEnd w:id="32"/>
    <w:bookmarkStart w:id="33" w:name="nfr-010-data-accuracy"/>
    <w:p>
      <w:pPr>
        <w:pStyle w:val="Heading3"/>
      </w:pPr>
      <w:r>
        <w:t xml:space="preserve">NFR-010 Data Accuracy</w:t>
      </w:r>
    </w:p>
    <w:p>
      <w:pPr>
        <w:pStyle w:val="FirstParagraph"/>
      </w:pPr>
      <w:r>
        <w:t xml:space="preserve">Financial data displayed on the dashboard shall exactly match approved source records.</w:t>
      </w:r>
    </w:p>
    <w:p>
      <w:pPr>
        <w:pStyle w:val="BodyText"/>
      </w:pPr>
      <w:r>
        <w:t xml:space="preserve">No manual modification shall be permitted.</w:t>
      </w:r>
    </w:p>
    <w:p>
      <w:r>
        <w:pict>
          <v:rect style="width:0;height:1.5pt" o:hralign="center" o:hrstd="t" o:hr="t"/>
        </w:pict>
      </w:r>
    </w:p>
    <w:bookmarkEnd w:id="33"/>
    <w:bookmarkStart w:id="34" w:name="nfr-011-failure-recovery"/>
    <w:p>
      <w:pPr>
        <w:pStyle w:val="Heading3"/>
      </w:pPr>
      <w:r>
        <w:t xml:space="preserve">NFR-011 Failure Recovery</w:t>
      </w:r>
    </w:p>
    <w:p>
      <w:pPr>
        <w:pStyle w:val="FirstParagraph"/>
      </w:pPr>
      <w:r>
        <w:t xml:space="preserve">In the event of a service interruption:</w:t>
      </w:r>
    </w:p>
    <w:p>
      <w:pPr>
        <w:pStyle w:val="Compact"/>
        <w:numPr>
          <w:ilvl w:val="0"/>
          <w:numId w:val="1009"/>
        </w:numPr>
      </w:pPr>
      <w:r>
        <w:t xml:space="preserve">Last available data shall be displayed</w:t>
      </w:r>
    </w:p>
    <w:p>
      <w:pPr>
        <w:pStyle w:val="Compact"/>
        <w:numPr>
          <w:ilvl w:val="0"/>
          <w:numId w:val="1009"/>
        </w:numPr>
      </w:pPr>
      <w:r>
        <w:t xml:space="preserve">Data freshness indicator shall be shown</w:t>
      </w:r>
    </w:p>
    <w:p>
      <w:pPr>
        <w:pStyle w:val="Compact"/>
        <w:numPr>
          <w:ilvl w:val="0"/>
          <w:numId w:val="1009"/>
        </w:numPr>
      </w:pPr>
      <w:r>
        <w:t xml:space="preserve">Users shall be notified of degraded service</w:t>
      </w:r>
    </w:p>
    <w:p>
      <w:r>
        <w:pict>
          <v:rect style="width:0;height:1.5pt" o:hralign="center" o:hrstd="t" o:hr="t"/>
        </w:pict>
      </w:r>
    </w:p>
    <w:bookmarkEnd w:id="34"/>
    <w:bookmarkStart w:id="35" w:name="nfr-012-notification-reliability"/>
    <w:p>
      <w:pPr>
        <w:pStyle w:val="Heading3"/>
      </w:pPr>
      <w:r>
        <w:t xml:space="preserve">NFR-012 Notification Reliability</w:t>
      </w:r>
    </w:p>
    <w:p>
      <w:pPr>
        <w:pStyle w:val="FirstParagraph"/>
      </w:pPr>
      <w:r>
        <w:t xml:space="preserve">Critical notifications shall achieve:</w:t>
      </w:r>
    </w:p>
    <w:p>
      <w:pPr>
        <w:pStyle w:val="Compact"/>
        <w:numPr>
          <w:ilvl w:val="0"/>
          <w:numId w:val="1010"/>
        </w:numPr>
      </w:pPr>
      <w:r>
        <w:t xml:space="preserve">99% successful delivery rate</w:t>
      </w:r>
    </w:p>
    <w:p>
      <w:pPr>
        <w:pStyle w:val="FirstParagraph"/>
      </w:pPr>
      <w:r>
        <w:t xml:space="preserve">for configured notification channels.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usability-requirements"/>
    <w:p>
      <w:pPr>
        <w:pStyle w:val="Heading2"/>
      </w:pPr>
      <w:r>
        <w:t xml:space="preserve">4.4 Usability Requirements</w:t>
      </w:r>
    </w:p>
    <w:bookmarkStart w:id="37" w:name="nfr-013-executive-usability"/>
    <w:p>
      <w:pPr>
        <w:pStyle w:val="Heading3"/>
      </w:pPr>
      <w:r>
        <w:t xml:space="preserve">NFR-013 Executive Usability</w:t>
      </w:r>
    </w:p>
    <w:p>
      <w:pPr>
        <w:pStyle w:val="FirstParagraph"/>
      </w:pPr>
      <w:r>
        <w:t xml:space="preserve">The dashboard shall be usable by a non-technical executive after a brief orientation session.</w:t>
      </w:r>
    </w:p>
    <w:p>
      <w:r>
        <w:pict>
          <v:rect style="width:0;height:1.5pt" o:hralign="center" o:hrstd="t" o:hr="t"/>
        </w:pict>
      </w:r>
    </w:p>
    <w:bookmarkEnd w:id="37"/>
    <w:bookmarkStart w:id="38" w:name="nfr-014-accessibility"/>
    <w:p>
      <w:pPr>
        <w:pStyle w:val="Heading3"/>
      </w:pPr>
      <w:r>
        <w:t xml:space="preserve">NFR-014 Accessibility</w:t>
      </w:r>
    </w:p>
    <w:p>
      <w:pPr>
        <w:pStyle w:val="FirstParagraph"/>
      </w:pPr>
      <w:r>
        <w:t xml:space="preserve">The interface shall support:</w:t>
      </w:r>
    </w:p>
    <w:p>
      <w:pPr>
        <w:pStyle w:val="Compact"/>
        <w:numPr>
          <w:ilvl w:val="0"/>
          <w:numId w:val="1011"/>
        </w:numPr>
      </w:pPr>
      <w:r>
        <w:t xml:space="preserve">Keyboard navigation</w:t>
      </w:r>
    </w:p>
    <w:p>
      <w:pPr>
        <w:pStyle w:val="Compact"/>
        <w:numPr>
          <w:ilvl w:val="0"/>
          <w:numId w:val="1011"/>
        </w:numPr>
      </w:pPr>
      <w:r>
        <w:t xml:space="preserve">Screen readers</w:t>
      </w:r>
    </w:p>
    <w:p>
      <w:pPr>
        <w:pStyle w:val="Compact"/>
        <w:numPr>
          <w:ilvl w:val="0"/>
          <w:numId w:val="1011"/>
        </w:numPr>
      </w:pPr>
      <w:r>
        <w:t xml:space="preserve">Color-blind friendly indicators</w:t>
      </w:r>
    </w:p>
    <w:p>
      <w:pPr>
        <w:pStyle w:val="FirstParagraph"/>
      </w:pPr>
      <w:r>
        <w:t xml:space="preserve">Color indicators shall always be accompanied by text labels.</w:t>
      </w:r>
    </w:p>
    <w:p>
      <w:r>
        <w:pict>
          <v:rect style="width:0;height:1.5pt" o:hralign="center" o:hrstd="t" o:hr="t"/>
        </w:pict>
      </w:r>
    </w:p>
    <w:bookmarkEnd w:id="38"/>
    <w:bookmarkStart w:id="39" w:name="nfr-015-responsive-design"/>
    <w:p>
      <w:pPr>
        <w:pStyle w:val="Heading3"/>
      </w:pPr>
      <w:r>
        <w:t xml:space="preserve">NFR-015 Responsive Design</w:t>
      </w:r>
    </w:p>
    <w:p>
      <w:pPr>
        <w:pStyle w:val="FirstParagraph"/>
      </w:pPr>
      <w:r>
        <w:t xml:space="preserve">Supported Devices:</w:t>
      </w:r>
    </w:p>
    <w:p>
      <w:pPr>
        <w:pStyle w:val="Compact"/>
        <w:numPr>
          <w:ilvl w:val="0"/>
          <w:numId w:val="1012"/>
        </w:numPr>
      </w:pPr>
      <w:r>
        <w:t xml:space="preserve">Desktop</w:t>
      </w:r>
    </w:p>
    <w:p>
      <w:pPr>
        <w:pStyle w:val="Compact"/>
        <w:numPr>
          <w:ilvl w:val="0"/>
          <w:numId w:val="1012"/>
        </w:numPr>
      </w:pPr>
      <w:r>
        <w:t xml:space="preserve">Tablet</w:t>
      </w:r>
    </w:p>
    <w:p>
      <w:pPr>
        <w:pStyle w:val="Compact"/>
        <w:numPr>
          <w:ilvl w:val="0"/>
          <w:numId w:val="1012"/>
        </w:numPr>
      </w:pPr>
      <w:r>
        <w:t xml:space="preserve">Mobile (Executive Alerts &amp; Approvals)</w:t>
      </w:r>
    </w:p>
    <w:p>
      <w:r>
        <w:pict>
          <v:rect style="width:0;height:1.5pt" o:hralign="center" o:hrstd="t" o:hr="t"/>
        </w:pict>
      </w:r>
    </w:p>
    <w:bookmarkEnd w:id="39"/>
    <w:bookmarkStart w:id="40" w:name="nfr-016-navigation-simplicity"/>
    <w:p>
      <w:pPr>
        <w:pStyle w:val="Heading3"/>
      </w:pPr>
      <w:r>
        <w:t xml:space="preserve">NFR-016 Navigation Simplicity</w:t>
      </w:r>
    </w:p>
    <w:p>
      <w:pPr>
        <w:pStyle w:val="FirstParagraph"/>
      </w:pPr>
      <w:r>
        <w:t xml:space="preserve">Frequently used executive functions shall be accessible within:</w:t>
      </w:r>
    </w:p>
    <w:p>
      <w:pPr>
        <w:pStyle w:val="Compact"/>
        <w:numPr>
          <w:ilvl w:val="0"/>
          <w:numId w:val="1013"/>
        </w:numPr>
      </w:pPr>
      <w:r>
        <w:t xml:space="preserve">3 clicks</w:t>
      </w:r>
    </w:p>
    <w:p>
      <w:pPr>
        <w:pStyle w:val="FirstParagraph"/>
      </w:pPr>
      <w:r>
        <w:t xml:space="preserve">from the dashboard home page.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intainability-requirements"/>
    <w:p>
      <w:pPr>
        <w:pStyle w:val="Heading2"/>
      </w:pPr>
      <w:r>
        <w:t xml:space="preserve">4.5 Maintainability Requirements</w:t>
      </w:r>
    </w:p>
    <w:bookmarkStart w:id="42" w:name="nfr-017-modular-architecture"/>
    <w:p>
      <w:pPr>
        <w:pStyle w:val="Heading3"/>
      </w:pPr>
      <w:r>
        <w:t xml:space="preserve">NFR-017 Modular Architecture</w:t>
      </w:r>
    </w:p>
    <w:p>
      <w:pPr>
        <w:pStyle w:val="FirstParagraph"/>
      </w:pPr>
      <w:r>
        <w:t xml:space="preserve">Dashboard widgets shall be independently deployable and maintainable.</w:t>
      </w:r>
    </w:p>
    <w:p>
      <w:r>
        <w:pict>
          <v:rect style="width:0;height:1.5pt" o:hralign="center" o:hrstd="t" o:hr="t"/>
        </w:pict>
      </w:r>
    </w:p>
    <w:bookmarkEnd w:id="42"/>
    <w:bookmarkStart w:id="43" w:name="nfr-018-configuration-management"/>
    <w:p>
      <w:pPr>
        <w:pStyle w:val="Heading3"/>
      </w:pPr>
      <w:r>
        <w:t xml:space="preserve">NFR-018 Configuration Management</w:t>
      </w:r>
    </w:p>
    <w:p>
      <w:pPr>
        <w:pStyle w:val="FirstParagraph"/>
      </w:pPr>
      <w:r>
        <w:t xml:space="preserve">Thresholds, KPIs, and approval limits shall be configurable without code modification.</w:t>
      </w:r>
    </w:p>
    <w:p>
      <w:r>
        <w:pict>
          <v:rect style="width:0;height:1.5pt" o:hralign="center" o:hrstd="t" o:hr="t"/>
        </w:pict>
      </w:r>
    </w:p>
    <w:bookmarkEnd w:id="43"/>
    <w:bookmarkStart w:id="44" w:name="nfr-019-error-logging"/>
    <w:p>
      <w:pPr>
        <w:pStyle w:val="Heading3"/>
      </w:pPr>
      <w:r>
        <w:t xml:space="preserve">NFR-019 Error Logging</w:t>
      </w:r>
    </w:p>
    <w:p>
      <w:pPr>
        <w:pStyle w:val="FirstParagraph"/>
      </w:pPr>
      <w:r>
        <w:t xml:space="preserve">Application errors shall be logged centrally with:</w:t>
      </w:r>
    </w:p>
    <w:p>
      <w:pPr>
        <w:pStyle w:val="Compact"/>
        <w:numPr>
          <w:ilvl w:val="0"/>
          <w:numId w:val="1014"/>
        </w:numPr>
      </w:pPr>
      <w:r>
        <w:t xml:space="preserve">Timestamp</w:t>
      </w:r>
    </w:p>
    <w:p>
      <w:pPr>
        <w:pStyle w:val="Compact"/>
        <w:numPr>
          <w:ilvl w:val="0"/>
          <w:numId w:val="1014"/>
        </w:numPr>
      </w:pPr>
      <w:r>
        <w:t xml:space="preserve">User</w:t>
      </w:r>
    </w:p>
    <w:p>
      <w:pPr>
        <w:pStyle w:val="Compact"/>
        <w:numPr>
          <w:ilvl w:val="0"/>
          <w:numId w:val="1014"/>
        </w:numPr>
      </w:pPr>
      <w:r>
        <w:t xml:space="preserve">Module</w:t>
      </w:r>
    </w:p>
    <w:p>
      <w:pPr>
        <w:pStyle w:val="Compact"/>
        <w:numPr>
          <w:ilvl w:val="0"/>
          <w:numId w:val="1014"/>
        </w:numPr>
      </w:pPr>
      <w:r>
        <w:t xml:space="preserve">Error Details</w:t>
      </w:r>
    </w:p>
    <w:p>
      <w:pPr>
        <w:pStyle w:val="Compact"/>
        <w:numPr>
          <w:ilvl w:val="0"/>
          <w:numId w:val="1014"/>
        </w:numPr>
      </w:pPr>
      <w:r>
        <w:t xml:space="preserve">Stack Trace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isaster-recovery-requirements"/>
    <w:p>
      <w:pPr>
        <w:pStyle w:val="Heading2"/>
      </w:pPr>
      <w:r>
        <w:t xml:space="preserve">4.6 Disaster Recovery Requirements</w:t>
      </w:r>
    </w:p>
    <w:bookmarkStart w:id="46" w:name="nfr-020-recovery-time-objective-rto"/>
    <w:p>
      <w:pPr>
        <w:pStyle w:val="Heading3"/>
      </w:pPr>
      <w:r>
        <w:t xml:space="preserve">NFR-020 Recovery Time Objective (RTO)</w:t>
      </w:r>
    </w:p>
    <w:p>
      <w:pPr>
        <w:pStyle w:val="FirstParagraph"/>
      </w:pPr>
      <w:r>
        <w:t xml:space="preserve">Maximum Recovery Time:</w:t>
      </w:r>
    </w:p>
    <w:p>
      <w:pPr>
        <w:pStyle w:val="BodyText"/>
      </w:pPr>
      <w:r>
        <w:t xml:space="preserve">4 Hours</w:t>
      </w:r>
    </w:p>
    <w:p>
      <w:r>
        <w:pict>
          <v:rect style="width:0;height:1.5pt" o:hralign="center" o:hrstd="t" o:hr="t"/>
        </w:pict>
      </w:r>
    </w:p>
    <w:bookmarkEnd w:id="46"/>
    <w:bookmarkStart w:id="47" w:name="nfr-021-recovery-point-objective-rpo"/>
    <w:p>
      <w:pPr>
        <w:pStyle w:val="Heading3"/>
      </w:pPr>
      <w:r>
        <w:t xml:space="preserve">NFR-021 Recovery Point Objective (RPO)</w:t>
      </w:r>
    </w:p>
    <w:p>
      <w:pPr>
        <w:pStyle w:val="FirstParagraph"/>
      </w:pPr>
      <w:r>
        <w:t xml:space="preserve">Maximum Data Loss:</w:t>
      </w:r>
    </w:p>
    <w:p>
      <w:pPr>
        <w:pStyle w:val="BodyText"/>
      </w:pPr>
      <w:r>
        <w:t xml:space="preserve">24 Hours</w:t>
      </w:r>
    </w:p>
    <w:p>
      <w:r>
        <w:pict>
          <v:rect style="width:0;height:1.5pt" o:hralign="center" o:hrstd="t" o:hr="t"/>
        </w:pict>
      </w:r>
    </w:p>
    <w:bookmarkEnd w:id="47"/>
    <w:bookmarkStart w:id="48" w:name="nfr-022-backup-verification"/>
    <w:p>
      <w:pPr>
        <w:pStyle w:val="Heading3"/>
      </w:pPr>
      <w:r>
        <w:t xml:space="preserve">NFR-022 Backup Verification</w:t>
      </w:r>
    </w:p>
    <w:p>
      <w:pPr>
        <w:pStyle w:val="FirstParagraph"/>
      </w:pPr>
      <w:r>
        <w:t xml:space="preserve">All backups shall undergo periodic restoration testing.</w:t>
      </w:r>
    </w:p>
    <w:p>
      <w:pPr>
        <w:pStyle w:val="BodyText"/>
      </w:pPr>
      <w:r>
        <w:t xml:space="preserve">Minimum Frequency:</w:t>
      </w:r>
    </w:p>
    <w:p>
      <w:pPr>
        <w:pStyle w:val="BodyText"/>
      </w:pPr>
      <w:r>
        <w:t xml:space="preserve">Quarterly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70" w:name="security-compliance-requirements"/>
    <w:p>
      <w:pPr>
        <w:pStyle w:val="Heading1"/>
      </w:pPr>
      <w:r>
        <w:t xml:space="preserve">5. SECURITY &amp; COMPLIANCE REQUIREMENTS</w:t>
      </w:r>
    </w:p>
    <w:bookmarkStart w:id="54" w:name="authentication"/>
    <w:p>
      <w:pPr>
        <w:pStyle w:val="Heading2"/>
      </w:pPr>
      <w:r>
        <w:t xml:space="preserve">5.1 Authentication</w:t>
      </w:r>
    </w:p>
    <w:bookmarkStart w:id="51" w:name="sec-001-executive-authentication"/>
    <w:p>
      <w:pPr>
        <w:pStyle w:val="Heading3"/>
      </w:pPr>
      <w:r>
        <w:t xml:space="preserve">SEC-001 Executive Authentication</w:t>
      </w:r>
    </w:p>
    <w:p>
      <w:pPr>
        <w:pStyle w:val="FirstParagraph"/>
      </w:pPr>
      <w:r>
        <w:t xml:space="preserve">CEO access shall require:</w:t>
      </w:r>
    </w:p>
    <w:p>
      <w:pPr>
        <w:pStyle w:val="Compact"/>
        <w:numPr>
          <w:ilvl w:val="0"/>
          <w:numId w:val="1015"/>
        </w:numPr>
      </w:pPr>
      <w:r>
        <w:t xml:space="preserve">Username</w:t>
      </w:r>
    </w:p>
    <w:p>
      <w:pPr>
        <w:pStyle w:val="Compact"/>
        <w:numPr>
          <w:ilvl w:val="0"/>
          <w:numId w:val="1015"/>
        </w:numPr>
      </w:pPr>
      <w:r>
        <w:t xml:space="preserve">Password</w:t>
      </w:r>
    </w:p>
    <w:p>
      <w:pPr>
        <w:pStyle w:val="Compact"/>
        <w:numPr>
          <w:ilvl w:val="0"/>
          <w:numId w:val="1015"/>
        </w:numPr>
      </w:pPr>
      <w:r>
        <w:t xml:space="preserve">Multi-Factor Authentication (MFA)</w:t>
      </w:r>
    </w:p>
    <w:p>
      <w:r>
        <w:pict>
          <v:rect style="width:0;height:1.5pt" o:hralign="center" o:hrstd="t" o:hr="t"/>
        </w:pict>
      </w:r>
    </w:p>
    <w:bookmarkEnd w:id="51"/>
    <w:bookmarkStart w:id="52" w:name="sec-002-password-policy"/>
    <w:p>
      <w:pPr>
        <w:pStyle w:val="Heading3"/>
      </w:pPr>
      <w:r>
        <w:t xml:space="preserve">SEC-002 Password Policy</w:t>
      </w:r>
    </w:p>
    <w:p>
      <w:pPr>
        <w:pStyle w:val="FirstParagraph"/>
      </w:pPr>
      <w:r>
        <w:t xml:space="preserve">Passwords shall:</w:t>
      </w:r>
    </w:p>
    <w:p>
      <w:pPr>
        <w:pStyle w:val="Compact"/>
        <w:numPr>
          <w:ilvl w:val="0"/>
          <w:numId w:val="1016"/>
        </w:numPr>
      </w:pPr>
      <w:r>
        <w:t xml:space="preserve">Minimum 12 characters</w:t>
      </w:r>
    </w:p>
    <w:p>
      <w:pPr>
        <w:pStyle w:val="Compact"/>
        <w:numPr>
          <w:ilvl w:val="0"/>
          <w:numId w:val="1016"/>
        </w:numPr>
      </w:pPr>
      <w:r>
        <w:t xml:space="preserve">Include uppercase letters</w:t>
      </w:r>
    </w:p>
    <w:p>
      <w:pPr>
        <w:pStyle w:val="Compact"/>
        <w:numPr>
          <w:ilvl w:val="0"/>
          <w:numId w:val="1016"/>
        </w:numPr>
      </w:pPr>
      <w:r>
        <w:t xml:space="preserve">Include lowercase letters</w:t>
      </w:r>
    </w:p>
    <w:p>
      <w:pPr>
        <w:pStyle w:val="Compact"/>
        <w:numPr>
          <w:ilvl w:val="0"/>
          <w:numId w:val="1016"/>
        </w:numPr>
      </w:pPr>
      <w:r>
        <w:t xml:space="preserve">Include numbers</w:t>
      </w:r>
    </w:p>
    <w:p>
      <w:pPr>
        <w:pStyle w:val="Compact"/>
        <w:numPr>
          <w:ilvl w:val="0"/>
          <w:numId w:val="1016"/>
        </w:numPr>
      </w:pPr>
      <w:r>
        <w:t xml:space="preserve">Include special characters</w:t>
      </w:r>
    </w:p>
    <w:p>
      <w:r>
        <w:pict>
          <v:rect style="width:0;height:1.5pt" o:hralign="center" o:hrstd="t" o:hr="t"/>
        </w:pict>
      </w:r>
    </w:p>
    <w:bookmarkEnd w:id="52"/>
    <w:bookmarkStart w:id="53" w:name="sec-003-failed-login-protection"/>
    <w:p>
      <w:pPr>
        <w:pStyle w:val="Heading3"/>
      </w:pPr>
      <w:r>
        <w:t xml:space="preserve">SEC-003 Failed Login Protection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17"/>
        </w:numPr>
      </w:pPr>
      <w:r>
        <w:t xml:space="preserve">Lock accounts after 5 failed attempts</w:t>
      </w:r>
    </w:p>
    <w:p>
      <w:pPr>
        <w:pStyle w:val="Compact"/>
        <w:numPr>
          <w:ilvl w:val="0"/>
          <w:numId w:val="1017"/>
        </w:numPr>
      </w:pPr>
      <w:r>
        <w:t xml:space="preserve">Maintain lockout for 30 minutes</w:t>
      </w:r>
    </w:p>
    <w:p>
      <w:pPr>
        <w:pStyle w:val="Compact"/>
        <w:numPr>
          <w:ilvl w:val="0"/>
          <w:numId w:val="1017"/>
        </w:numPr>
      </w:pPr>
      <w:r>
        <w:t xml:space="preserve">Log all failed attempts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uthorization"/>
    <w:p>
      <w:pPr>
        <w:pStyle w:val="Heading2"/>
      </w:pPr>
      <w:r>
        <w:t xml:space="preserve">5.2 Authorization</w:t>
      </w:r>
    </w:p>
    <w:bookmarkStart w:id="55" w:name="sec-004-role-based-access-control"/>
    <w:p>
      <w:pPr>
        <w:pStyle w:val="Heading3"/>
      </w:pPr>
      <w:r>
        <w:t xml:space="preserve">SEC-004 Role-Based Access Control</w:t>
      </w:r>
    </w:p>
    <w:p>
      <w:pPr>
        <w:pStyle w:val="FirstParagraph"/>
      </w:pPr>
      <w:r>
        <w:t xml:space="preserve">Access to CEO dashboard functions shall be controlled through RBAC.</w:t>
      </w:r>
    </w:p>
    <w:p>
      <w:r>
        <w:pict>
          <v:rect style="width:0;height:1.5pt" o:hralign="center" o:hrstd="t" o:hr="t"/>
        </w:pict>
      </w:r>
    </w:p>
    <w:bookmarkEnd w:id="55"/>
    <w:bookmarkStart w:id="56" w:name="sec-005-least-privilege-principle"/>
    <w:p>
      <w:pPr>
        <w:pStyle w:val="Heading3"/>
      </w:pPr>
      <w:r>
        <w:t xml:space="preserve">SEC-005 Least Privilege Principle</w:t>
      </w:r>
    </w:p>
    <w:p>
      <w:pPr>
        <w:pStyle w:val="FirstParagraph"/>
      </w:pPr>
      <w:r>
        <w:t xml:space="preserve">The CEO role shall receive only permissions required for executive responsibilities.</w:t>
      </w:r>
    </w:p>
    <w:p>
      <w:r>
        <w:pict>
          <v:rect style="width:0;height:1.5pt" o:hralign="center" o:hrstd="t" o:hr="t"/>
        </w:pict>
      </w:r>
    </w:p>
    <w:bookmarkEnd w:id="56"/>
    <w:bookmarkStart w:id="57" w:name="sec-006-approval-authorization"/>
    <w:p>
      <w:pPr>
        <w:pStyle w:val="Heading3"/>
      </w:pPr>
      <w:r>
        <w:t xml:space="preserve">SEC-006 Approval Authorization</w:t>
      </w:r>
    </w:p>
    <w:p>
      <w:pPr>
        <w:pStyle w:val="FirstParagraph"/>
      </w:pPr>
      <w:r>
        <w:t xml:space="preserve">Only authorized executive users may approve:</w:t>
      </w:r>
    </w:p>
    <w:p>
      <w:pPr>
        <w:pStyle w:val="Compact"/>
        <w:numPr>
          <w:ilvl w:val="0"/>
          <w:numId w:val="1018"/>
        </w:numPr>
      </w:pPr>
      <w:r>
        <w:t xml:space="preserve">High-value Purchase Orders</w:t>
      </w:r>
    </w:p>
    <w:p>
      <w:pPr>
        <w:pStyle w:val="Compact"/>
        <w:numPr>
          <w:ilvl w:val="0"/>
          <w:numId w:val="1018"/>
        </w:numPr>
      </w:pPr>
      <w:r>
        <w:t xml:space="preserve">Executive Hiring Requests</w:t>
      </w:r>
    </w:p>
    <w:p>
      <w:pPr>
        <w:pStyle w:val="Compact"/>
        <w:numPr>
          <w:ilvl w:val="0"/>
          <w:numId w:val="1018"/>
        </w:numPr>
      </w:pPr>
      <w:r>
        <w:t xml:space="preserve">Asset Write-Offs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ession-security"/>
    <w:p>
      <w:pPr>
        <w:pStyle w:val="Heading2"/>
      </w:pPr>
      <w:r>
        <w:t xml:space="preserve">5.3 Session Security</w:t>
      </w:r>
    </w:p>
    <w:bookmarkStart w:id="59" w:name="sec-007-session-timeout"/>
    <w:p>
      <w:pPr>
        <w:pStyle w:val="Heading3"/>
      </w:pPr>
      <w:r>
        <w:t xml:space="preserve">SEC-007 Session Timeout</w:t>
      </w:r>
    </w:p>
    <w:p>
      <w:pPr>
        <w:pStyle w:val="FirstParagraph"/>
      </w:pPr>
      <w:r>
        <w:t xml:space="preserve">Idle Session Timeout:</w:t>
      </w:r>
    </w:p>
    <w:p>
      <w:pPr>
        <w:pStyle w:val="BodyText"/>
      </w:pP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59"/>
    <w:bookmarkStart w:id="60" w:name="sec-008-token-lifetime"/>
    <w:p>
      <w:pPr>
        <w:pStyle w:val="Heading3"/>
      </w:pPr>
      <w:r>
        <w:t xml:space="preserve">SEC-008 Token Lifetime</w:t>
      </w:r>
    </w:p>
    <w:p>
      <w:pPr>
        <w:pStyle w:val="FirstParagraph"/>
      </w:pPr>
      <w:r>
        <w:t xml:space="preserve">JWT Token Lifetime:</w:t>
      </w:r>
    </w:p>
    <w:p>
      <w:pPr>
        <w:pStyle w:val="BodyText"/>
      </w:pPr>
      <w:r>
        <w:t xml:space="preserve">8 Hours</w:t>
      </w:r>
    </w:p>
    <w:p>
      <w:pPr>
        <w:pStyle w:val="BodyText"/>
      </w:pPr>
      <w:r>
        <w:t xml:space="preserve">A new login shall be required after token expiration.</w:t>
      </w:r>
    </w:p>
    <w:p>
      <w:r>
        <w:pict>
          <v:rect style="width:0;height:1.5pt" o:hralign="center" o:hrstd="t" o:hr="t"/>
        </w:pict>
      </w:r>
    </w:p>
    <w:bookmarkEnd w:id="60"/>
    <w:bookmarkStart w:id="61" w:name="X62a19d18fd5e31c35250c044493805f9a7b659b"/>
    <w:p>
      <w:pPr>
        <w:pStyle w:val="Heading3"/>
      </w:pPr>
      <w:r>
        <w:t xml:space="preserve">SEC-009 Sensitive Action Re-Authentication</w:t>
      </w:r>
    </w:p>
    <w:p>
      <w:pPr>
        <w:pStyle w:val="FirstParagraph"/>
      </w:pPr>
      <w:r>
        <w:t xml:space="preserve">The following actions require MFA re-verification:</w:t>
      </w:r>
    </w:p>
    <w:p>
      <w:pPr>
        <w:pStyle w:val="Compact"/>
        <w:numPr>
          <w:ilvl w:val="0"/>
          <w:numId w:val="1019"/>
        </w:numPr>
      </w:pPr>
      <w:r>
        <w:t xml:space="preserve">PO Approval</w:t>
      </w:r>
    </w:p>
    <w:p>
      <w:pPr>
        <w:pStyle w:val="Compact"/>
        <w:numPr>
          <w:ilvl w:val="0"/>
          <w:numId w:val="1019"/>
        </w:numPr>
      </w:pPr>
      <w:r>
        <w:t xml:space="preserve">Write-Off Approval</w:t>
      </w:r>
    </w:p>
    <w:p>
      <w:pPr>
        <w:pStyle w:val="Compact"/>
        <w:numPr>
          <w:ilvl w:val="0"/>
          <w:numId w:val="1019"/>
        </w:numPr>
      </w:pPr>
      <w:r>
        <w:t xml:space="preserve">Executive Hiring Approval</w:t>
      </w:r>
    </w:p>
    <w:p>
      <w:pPr>
        <w:pStyle w:val="Compact"/>
        <w:numPr>
          <w:ilvl w:val="0"/>
          <w:numId w:val="1019"/>
        </w:numPr>
      </w:pPr>
      <w:r>
        <w:t xml:space="preserve">KPI Threshold Modification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audit-compliance"/>
    <w:p>
      <w:pPr>
        <w:pStyle w:val="Heading2"/>
      </w:pPr>
      <w:r>
        <w:t xml:space="preserve">5.4 Audit &amp; Compliance</w:t>
      </w:r>
    </w:p>
    <w:bookmarkStart w:id="63" w:name="sec-010-executive-audit-logging"/>
    <w:p>
      <w:pPr>
        <w:pStyle w:val="Heading3"/>
      </w:pPr>
      <w:r>
        <w:t xml:space="preserve">SEC-010 Executive Audit Logging</w:t>
      </w:r>
    </w:p>
    <w:p>
      <w:pPr>
        <w:pStyle w:val="FirstParagraph"/>
      </w:pPr>
      <w:r>
        <w:t xml:space="preserve">The following actions shall be logged:</w:t>
      </w:r>
    </w:p>
    <w:p>
      <w:pPr>
        <w:pStyle w:val="Compact"/>
        <w:numPr>
          <w:ilvl w:val="0"/>
          <w:numId w:val="1020"/>
        </w:numPr>
      </w:pPr>
      <w:r>
        <w:t xml:space="preserve">Login</w:t>
      </w:r>
    </w:p>
    <w:p>
      <w:pPr>
        <w:pStyle w:val="Compact"/>
        <w:numPr>
          <w:ilvl w:val="0"/>
          <w:numId w:val="1020"/>
        </w:numPr>
      </w:pPr>
      <w:r>
        <w:t xml:space="preserve">Logout</w:t>
      </w:r>
    </w:p>
    <w:p>
      <w:pPr>
        <w:pStyle w:val="Compact"/>
        <w:numPr>
          <w:ilvl w:val="0"/>
          <w:numId w:val="1020"/>
        </w:numPr>
      </w:pPr>
      <w:r>
        <w:t xml:space="preserve">Report Generation</w:t>
      </w:r>
    </w:p>
    <w:p>
      <w:pPr>
        <w:pStyle w:val="Compact"/>
        <w:numPr>
          <w:ilvl w:val="0"/>
          <w:numId w:val="1020"/>
        </w:numPr>
      </w:pPr>
      <w:r>
        <w:t xml:space="preserve">KPI Changes</w:t>
      </w:r>
    </w:p>
    <w:p>
      <w:pPr>
        <w:pStyle w:val="Compact"/>
        <w:numPr>
          <w:ilvl w:val="0"/>
          <w:numId w:val="1020"/>
        </w:numPr>
      </w:pPr>
      <w:r>
        <w:t xml:space="preserve">Approval Decisions</w:t>
      </w:r>
    </w:p>
    <w:p>
      <w:pPr>
        <w:pStyle w:val="Compact"/>
        <w:numPr>
          <w:ilvl w:val="0"/>
          <w:numId w:val="1020"/>
        </w:numPr>
      </w:pPr>
      <w:r>
        <w:t xml:space="preserve">Alert Acknowledgements</w:t>
      </w:r>
    </w:p>
    <w:p>
      <w:r>
        <w:pict>
          <v:rect style="width:0;height:1.5pt" o:hralign="center" o:hrstd="t" o:hr="t"/>
        </w:pict>
      </w:r>
    </w:p>
    <w:bookmarkEnd w:id="63"/>
    <w:bookmarkStart w:id="64" w:name="sec-011-audit-record-immutability"/>
    <w:p>
      <w:pPr>
        <w:pStyle w:val="Heading3"/>
      </w:pPr>
      <w:r>
        <w:t xml:space="preserve">SEC-011 Audit Record Immutability</w:t>
      </w:r>
    </w:p>
    <w:p>
      <w:pPr>
        <w:pStyle w:val="FirstParagraph"/>
      </w:pPr>
      <w:r>
        <w:t xml:space="preserve">Audit records shall not be:</w:t>
      </w:r>
    </w:p>
    <w:p>
      <w:pPr>
        <w:pStyle w:val="Compact"/>
        <w:numPr>
          <w:ilvl w:val="0"/>
          <w:numId w:val="1021"/>
        </w:numPr>
      </w:pPr>
      <w:r>
        <w:t xml:space="preserve">Updated</w:t>
      </w:r>
    </w:p>
    <w:p>
      <w:pPr>
        <w:pStyle w:val="Compact"/>
        <w:numPr>
          <w:ilvl w:val="0"/>
          <w:numId w:val="1021"/>
        </w:numPr>
      </w:pPr>
      <w:r>
        <w:t xml:space="preserve">Deleted</w:t>
      </w:r>
    </w:p>
    <w:p>
      <w:pPr>
        <w:pStyle w:val="Compact"/>
        <w:numPr>
          <w:ilvl w:val="0"/>
          <w:numId w:val="1021"/>
        </w:numPr>
      </w:pPr>
      <w:r>
        <w:t xml:space="preserve">Modified</w:t>
      </w:r>
    </w:p>
    <w:p>
      <w:pPr>
        <w:pStyle w:val="FirstParagraph"/>
      </w:pPr>
      <w:r>
        <w:t xml:space="preserve">during the retention period.</w:t>
      </w:r>
    </w:p>
    <w:p>
      <w:r>
        <w:pict>
          <v:rect style="width:0;height:1.5pt" o:hralign="center" o:hrstd="t" o:hr="t"/>
        </w:pict>
      </w:r>
    </w:p>
    <w:bookmarkEnd w:id="64"/>
    <w:bookmarkStart w:id="65" w:name="sec-012-audit-retention"/>
    <w:p>
      <w:pPr>
        <w:pStyle w:val="Heading3"/>
      </w:pPr>
      <w:r>
        <w:t xml:space="preserve">SEC-012 Audit Retention</w:t>
      </w:r>
    </w:p>
    <w:p>
      <w:pPr>
        <w:pStyle w:val="FirstParagraph"/>
      </w:pPr>
      <w:r>
        <w:t xml:space="preserve">Retention Period:</w:t>
      </w:r>
    </w:p>
    <w:p>
      <w:pPr>
        <w:pStyle w:val="BodyText"/>
      </w:pPr>
      <w:r>
        <w:t xml:space="preserve">7 Years</w:t>
      </w:r>
    </w:p>
    <w:p>
      <w:r>
        <w:pict>
          <v:rect style="width:0;height:1.5pt" o:hralign="center" o:hrstd="t" o:hr="t"/>
        </w:pict>
      </w:r>
    </w:p>
    <w:bookmarkEnd w:id="65"/>
    <w:bookmarkStart w:id="66" w:name="sec-013-access-log-retention"/>
    <w:p>
      <w:pPr>
        <w:pStyle w:val="Heading3"/>
      </w:pPr>
      <w:r>
        <w:t xml:space="preserve">SEC-013 Access Log Retention</w:t>
      </w:r>
    </w:p>
    <w:p>
      <w:pPr>
        <w:pStyle w:val="FirstParagraph"/>
      </w:pPr>
      <w:r>
        <w:t xml:space="preserve">Access logs shall be retained for:</w:t>
      </w:r>
    </w:p>
    <w:p>
      <w:pPr>
        <w:pStyle w:val="BodyText"/>
      </w:pPr>
      <w:r>
        <w:t xml:space="preserve">7 Years</w:t>
      </w:r>
    </w:p>
    <w:p>
      <w:pPr>
        <w:pStyle w:val="BodyText"/>
      </w:pPr>
      <w:r>
        <w:t xml:space="preserve">to align with executive audit requirements.</w:t>
      </w:r>
    </w:p>
    <w:p>
      <w:r>
        <w:pict>
          <v:rect style="width:0;height:1.5pt" o:hralign="center" o:hrstd="t" o:hr="t"/>
        </w:pict>
      </w:r>
    </w:p>
    <w:bookmarkEnd w:id="66"/>
    <w:bookmarkStart w:id="67" w:name="sec-014-data-encryption"/>
    <w:p>
      <w:pPr>
        <w:pStyle w:val="Heading3"/>
      </w:pPr>
      <w:r>
        <w:t xml:space="preserve">SEC-014 Data Encryption</w:t>
      </w:r>
    </w:p>
    <w:p>
      <w:pPr>
        <w:pStyle w:val="FirstParagraph"/>
      </w:pPr>
      <w:r>
        <w:t xml:space="preserve">Data shall be encrypted:</w:t>
      </w:r>
    </w:p>
    <w:p>
      <w:pPr>
        <w:pStyle w:val="BodyText"/>
      </w:pPr>
      <w:r>
        <w:t xml:space="preserve">In Transit:</w:t>
      </w:r>
      <w:r>
        <w:t xml:space="preserve"> </w:t>
      </w:r>
      <w:r>
        <w:t xml:space="preserve">TLS 1.2 or higher</w:t>
      </w:r>
    </w:p>
    <w:p>
      <w:pPr>
        <w:pStyle w:val="BodyText"/>
      </w:pPr>
      <w:r>
        <w:t xml:space="preserve">At Rest:</w:t>
      </w:r>
      <w:r>
        <w:t xml:space="preserve"> </w:t>
      </w:r>
      <w:r>
        <w:t xml:space="preserve">Database encryption enabled</w:t>
      </w:r>
    </w:p>
    <w:p>
      <w:r>
        <w:pict>
          <v:rect style="width:0;height:1.5pt" o:hralign="center" o:hrstd="t" o:hr="t"/>
        </w:pict>
      </w:r>
    </w:p>
    <w:bookmarkEnd w:id="67"/>
    <w:bookmarkStart w:id="68" w:name="sec-015-regulatory-compliance"/>
    <w:p>
      <w:pPr>
        <w:pStyle w:val="Heading3"/>
      </w:pPr>
      <w:r>
        <w:t xml:space="preserve">SEC-015 Regulatory Compliance</w:t>
      </w:r>
    </w:p>
    <w:p>
      <w:pPr>
        <w:pStyle w:val="FirstParagraph"/>
      </w:pPr>
      <w:r>
        <w:t xml:space="preserve">The system shall support compliance with:</w:t>
      </w:r>
    </w:p>
    <w:p>
      <w:pPr>
        <w:pStyle w:val="Compact"/>
        <w:numPr>
          <w:ilvl w:val="0"/>
          <w:numId w:val="1022"/>
        </w:numPr>
      </w:pPr>
      <w:r>
        <w:t xml:space="preserve">Ethiopian financial record retention requirements</w:t>
      </w:r>
    </w:p>
    <w:p>
      <w:pPr>
        <w:pStyle w:val="Compact"/>
        <w:numPr>
          <w:ilvl w:val="0"/>
          <w:numId w:val="1022"/>
        </w:numPr>
      </w:pPr>
      <w:r>
        <w:t xml:space="preserve">Internal governance policies</w:t>
      </w:r>
    </w:p>
    <w:p>
      <w:pPr>
        <w:pStyle w:val="Compact"/>
        <w:numPr>
          <w:ilvl w:val="0"/>
          <w:numId w:val="1022"/>
        </w:numPr>
      </w:pPr>
      <w:r>
        <w:t xml:space="preserve">Audit and compliance requirements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0" w:name="external-interface-requirements"/>
    <w:p>
      <w:pPr>
        <w:pStyle w:val="Heading1"/>
      </w:pPr>
      <w:r>
        <w:t xml:space="preserve">6. EXTERNAL INTERFACE REQUIREMENTS</w:t>
      </w:r>
    </w:p>
    <w:bookmarkStart w:id="71" w:name="user-interface"/>
    <w:p>
      <w:pPr>
        <w:pStyle w:val="Heading2"/>
      </w:pPr>
      <w:r>
        <w:t xml:space="preserve">6.1 User Interface</w:t>
      </w:r>
    </w:p>
    <w:p>
      <w:pPr>
        <w:pStyle w:val="FirstParagraph"/>
      </w:pPr>
      <w:r>
        <w:t xml:space="preserve">Dashboard Layout:</w:t>
      </w:r>
    </w:p>
    <w:p>
      <w:pPr>
        <w:pStyle w:val="BodyText"/>
      </w:pPr>
      <w:r>
        <w:t xml:space="preserve">Header Area:</w:t>
      </w:r>
    </w:p>
    <w:p>
      <w:pPr>
        <w:pStyle w:val="Compact"/>
        <w:numPr>
          <w:ilvl w:val="0"/>
          <w:numId w:val="1023"/>
        </w:numPr>
      </w:pPr>
      <w:r>
        <w:t xml:space="preserve">Company Logo</w:t>
      </w:r>
    </w:p>
    <w:p>
      <w:pPr>
        <w:pStyle w:val="Compact"/>
        <w:numPr>
          <w:ilvl w:val="0"/>
          <w:numId w:val="1023"/>
        </w:numPr>
      </w:pPr>
      <w:r>
        <w:t xml:space="preserve">Executive Name</w:t>
      </w:r>
    </w:p>
    <w:p>
      <w:pPr>
        <w:pStyle w:val="Compact"/>
        <w:numPr>
          <w:ilvl w:val="0"/>
          <w:numId w:val="1023"/>
        </w:numPr>
      </w:pPr>
      <w:r>
        <w:t xml:space="preserve">Date &amp; Time</w:t>
      </w:r>
    </w:p>
    <w:p>
      <w:pPr>
        <w:pStyle w:val="Compact"/>
        <w:numPr>
          <w:ilvl w:val="0"/>
          <w:numId w:val="1023"/>
        </w:numPr>
      </w:pPr>
      <w:r>
        <w:t xml:space="preserve">Notification Center</w:t>
      </w:r>
    </w:p>
    <w:p>
      <w:pPr>
        <w:pStyle w:val="Compact"/>
        <w:numPr>
          <w:ilvl w:val="0"/>
          <w:numId w:val="1023"/>
        </w:numPr>
      </w:pPr>
      <w:r>
        <w:t xml:space="preserve">Logout</w:t>
      </w:r>
    </w:p>
    <w:p>
      <w:pPr>
        <w:pStyle w:val="FirstParagraph"/>
      </w:pPr>
      <w:r>
        <w:t xml:space="preserve">Main Dashboard:</w:t>
      </w:r>
    </w:p>
    <w:p>
      <w:pPr>
        <w:pStyle w:val="Compact"/>
        <w:numPr>
          <w:ilvl w:val="0"/>
          <w:numId w:val="1024"/>
        </w:numPr>
      </w:pPr>
      <w:r>
        <w:t xml:space="preserve">Financial Summary</w:t>
      </w:r>
    </w:p>
    <w:p>
      <w:pPr>
        <w:pStyle w:val="Compact"/>
        <w:numPr>
          <w:ilvl w:val="0"/>
          <w:numId w:val="1024"/>
        </w:numPr>
      </w:pPr>
      <w:r>
        <w:t xml:space="preserve">KPI Summary</w:t>
      </w:r>
    </w:p>
    <w:p>
      <w:pPr>
        <w:pStyle w:val="Compact"/>
        <w:numPr>
          <w:ilvl w:val="0"/>
          <w:numId w:val="1024"/>
        </w:numPr>
      </w:pPr>
      <w:r>
        <w:t xml:space="preserve">Alerts</w:t>
      </w:r>
    </w:p>
    <w:p>
      <w:pPr>
        <w:pStyle w:val="Compact"/>
        <w:numPr>
          <w:ilvl w:val="0"/>
          <w:numId w:val="1024"/>
        </w:numPr>
      </w:pPr>
      <w:r>
        <w:t xml:space="preserve">Pending Approvals</w:t>
      </w:r>
    </w:p>
    <w:p>
      <w:pPr>
        <w:pStyle w:val="Compact"/>
        <w:numPr>
          <w:ilvl w:val="0"/>
          <w:numId w:val="1024"/>
        </w:numPr>
      </w:pPr>
      <w:r>
        <w:t xml:space="preserve">Sector Performance</w:t>
      </w:r>
    </w:p>
    <w:p>
      <w:pPr>
        <w:pStyle w:val="Compact"/>
        <w:numPr>
          <w:ilvl w:val="0"/>
          <w:numId w:val="1024"/>
        </w:numPr>
      </w:pPr>
      <w:r>
        <w:t xml:space="preserve">Activity Feed</w:t>
      </w:r>
    </w:p>
    <w:p>
      <w:r>
        <w:pict>
          <v:rect style="width:0;height:1.5pt" o:hralign="center" o:hrstd="t" o:hr="t"/>
        </w:pict>
      </w:r>
    </w:p>
    <w:bookmarkEnd w:id="71"/>
    <w:bookmarkStart w:id="78" w:name="software-interfaces"/>
    <w:p>
      <w:pPr>
        <w:pStyle w:val="Heading2"/>
      </w:pPr>
      <w:r>
        <w:t xml:space="preserve">6.2 Software Interfaces</w:t>
      </w:r>
    </w:p>
    <w:bookmarkStart w:id="72" w:name="finance-module-api"/>
    <w:p>
      <w:pPr>
        <w:pStyle w:val="Heading3"/>
      </w:pPr>
      <w:r>
        <w:t xml:space="preserve">Finance Module API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5"/>
        </w:numPr>
      </w:pPr>
      <w:r>
        <w:t xml:space="preserve">Revenue Data</w:t>
      </w:r>
    </w:p>
    <w:p>
      <w:pPr>
        <w:pStyle w:val="Compact"/>
        <w:numPr>
          <w:ilvl w:val="0"/>
          <w:numId w:val="1025"/>
        </w:numPr>
      </w:pPr>
      <w:r>
        <w:t xml:space="preserve">Profit Data</w:t>
      </w:r>
    </w:p>
    <w:p>
      <w:pPr>
        <w:pStyle w:val="Compact"/>
        <w:numPr>
          <w:ilvl w:val="0"/>
          <w:numId w:val="1025"/>
        </w:numPr>
      </w:pPr>
      <w:r>
        <w:t xml:space="preserve">Cash Flow Data</w:t>
      </w:r>
    </w:p>
    <w:p>
      <w:r>
        <w:pict>
          <v:rect style="width:0;height:1.5pt" o:hralign="center" o:hrstd="t" o:hr="t"/>
        </w:pict>
      </w:r>
    </w:p>
    <w:bookmarkEnd w:id="72"/>
    <w:bookmarkStart w:id="73" w:name="procurement-module-api"/>
    <w:p>
      <w:pPr>
        <w:pStyle w:val="Heading3"/>
      </w:pPr>
      <w:r>
        <w:t xml:space="preserve">Procurement Module API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6"/>
        </w:numPr>
      </w:pPr>
      <w:r>
        <w:t xml:space="preserve">Purchase Requests</w:t>
      </w:r>
    </w:p>
    <w:p>
      <w:pPr>
        <w:pStyle w:val="Compact"/>
        <w:numPr>
          <w:ilvl w:val="0"/>
          <w:numId w:val="1026"/>
        </w:numPr>
      </w:pPr>
      <w:r>
        <w:t xml:space="preserve">Approval Requests</w:t>
      </w:r>
    </w:p>
    <w:p>
      <w:r>
        <w:pict>
          <v:rect style="width:0;height:1.5pt" o:hralign="center" o:hrstd="t" o:hr="t"/>
        </w:pict>
      </w:r>
    </w:p>
    <w:bookmarkEnd w:id="73"/>
    <w:bookmarkStart w:id="74" w:name="inventory-module-api"/>
    <w:p>
      <w:pPr>
        <w:pStyle w:val="Heading3"/>
      </w:pPr>
      <w:r>
        <w:t xml:space="preserve">Inventory Module API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7"/>
        </w:numPr>
      </w:pPr>
      <w:r>
        <w:t xml:space="preserve">Stock Information</w:t>
      </w:r>
    </w:p>
    <w:p>
      <w:pPr>
        <w:pStyle w:val="Compact"/>
        <w:numPr>
          <w:ilvl w:val="0"/>
          <w:numId w:val="1027"/>
        </w:numPr>
      </w:pPr>
      <w:r>
        <w:t xml:space="preserve">Inventory Alerts</w:t>
      </w:r>
    </w:p>
    <w:p>
      <w:pPr>
        <w:pStyle w:val="Compact"/>
        <w:numPr>
          <w:ilvl w:val="0"/>
          <w:numId w:val="1027"/>
        </w:numPr>
      </w:pPr>
      <w:r>
        <w:t xml:space="preserve">Write-Off Requests</w:t>
      </w:r>
    </w:p>
    <w:p>
      <w:r>
        <w:pict>
          <v:rect style="width:0;height:1.5pt" o:hralign="center" o:hrstd="t" o:hr="t"/>
        </w:pict>
      </w:r>
    </w:p>
    <w:bookmarkEnd w:id="74"/>
    <w:bookmarkStart w:id="75" w:name="hr-module-api"/>
    <w:p>
      <w:pPr>
        <w:pStyle w:val="Heading3"/>
      </w:pPr>
      <w:r>
        <w:t xml:space="preserve">HR Module API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8"/>
        </w:numPr>
      </w:pPr>
      <w:r>
        <w:t xml:space="preserve">Employee Metrics</w:t>
      </w:r>
    </w:p>
    <w:p>
      <w:pPr>
        <w:pStyle w:val="Compact"/>
        <w:numPr>
          <w:ilvl w:val="0"/>
          <w:numId w:val="1028"/>
        </w:numPr>
      </w:pPr>
      <w:r>
        <w:t xml:space="preserve">Hiring Requests</w:t>
      </w:r>
    </w:p>
    <w:p>
      <w:r>
        <w:pict>
          <v:rect style="width:0;height:1.5pt" o:hralign="center" o:hrstd="t" o:hr="t"/>
        </w:pict>
      </w:r>
    </w:p>
    <w:bookmarkEnd w:id="75"/>
    <w:bookmarkStart w:id="76" w:name="notification-service"/>
    <w:p>
      <w:pPr>
        <w:pStyle w:val="Heading3"/>
      </w:pPr>
      <w:r>
        <w:t xml:space="preserve">Notification Service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9"/>
        </w:numPr>
      </w:pPr>
      <w:r>
        <w:t xml:space="preserve">Email Notifications</w:t>
      </w:r>
    </w:p>
    <w:p>
      <w:pPr>
        <w:pStyle w:val="Compact"/>
        <w:numPr>
          <w:ilvl w:val="0"/>
          <w:numId w:val="1029"/>
        </w:numPr>
      </w:pPr>
      <w:r>
        <w:t xml:space="preserve">In-App Notifications</w:t>
      </w:r>
    </w:p>
    <w:p>
      <w:r>
        <w:pict>
          <v:rect style="width:0;height:1.5pt" o:hralign="center" o:hrstd="t" o:hr="t"/>
        </w:pict>
      </w:r>
    </w:p>
    <w:bookmarkEnd w:id="76"/>
    <w:bookmarkStart w:id="77" w:name="audit-logging-service"/>
    <w:p>
      <w:pPr>
        <w:pStyle w:val="Heading3"/>
      </w:pPr>
      <w:r>
        <w:t xml:space="preserve">Audit Logging Service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30"/>
        </w:numPr>
      </w:pPr>
      <w:r>
        <w:t xml:space="preserve">Activity Recording</w:t>
      </w:r>
    </w:p>
    <w:p>
      <w:pPr>
        <w:pStyle w:val="Compact"/>
        <w:numPr>
          <w:ilvl w:val="0"/>
          <w:numId w:val="1030"/>
        </w:numPr>
      </w:pPr>
      <w:r>
        <w:t xml:space="preserve">Audit Storage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ommunication-interfaces"/>
    <w:p>
      <w:pPr>
        <w:pStyle w:val="Heading2"/>
      </w:pPr>
      <w:r>
        <w:t xml:space="preserve">6.3 Communication Interfaces</w:t>
      </w:r>
    </w:p>
    <w:p>
      <w:pPr>
        <w:pStyle w:val="FirstParagraph"/>
      </w:pPr>
      <w:r>
        <w:t xml:space="preserve">All communications shall use:</w:t>
      </w:r>
    </w:p>
    <w:p>
      <w:pPr>
        <w:pStyle w:val="BodyText"/>
      </w:pPr>
      <w:r>
        <w:t xml:space="preserve">HTTPS (TLS 1.2+)</w:t>
      </w:r>
    </w:p>
    <w:p>
      <w:pPr>
        <w:pStyle w:val="BodyText"/>
      </w:pPr>
      <w:r>
        <w:t xml:space="preserve">Real-time updates shall use:</w:t>
      </w:r>
    </w:p>
    <w:p>
      <w:pPr>
        <w:numPr>
          <w:ilvl w:val="0"/>
          <w:numId w:val="1031"/>
        </w:numPr>
      </w:pPr>
      <w:r>
        <w:t xml:space="preserve">WebSockets</w:t>
      </w:r>
      <w:r>
        <w:t xml:space="preserve"> </w:t>
      </w:r>
      <w:r>
        <w:t xml:space="preserve">or</w:t>
      </w:r>
    </w:p>
    <w:p>
      <w:pPr>
        <w:numPr>
          <w:ilvl w:val="0"/>
          <w:numId w:val="1031"/>
        </w:numPr>
      </w:pPr>
      <w:r>
        <w:t xml:space="preserve">Server-Sent Events (SSE)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data-requirements"/>
    <w:p>
      <w:pPr>
        <w:pStyle w:val="Heading1"/>
      </w:pPr>
      <w:r>
        <w:t xml:space="preserve">7. DATA REQUIREMENTS</w:t>
      </w:r>
    </w:p>
    <w:bookmarkStart w:id="87" w:name="core-data-entities"/>
    <w:p>
      <w:pPr>
        <w:pStyle w:val="Heading2"/>
      </w:pPr>
      <w:r>
        <w:t xml:space="preserve">7.1 Core Data Entities</w:t>
      </w:r>
    </w:p>
    <w:bookmarkStart w:id="81" w:name="revenue-record"/>
    <w:p>
      <w:pPr>
        <w:pStyle w:val="Heading3"/>
      </w:pPr>
      <w:r>
        <w:t xml:space="preserve">Revenue Record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2"/>
        </w:numPr>
      </w:pPr>
      <w:r>
        <w:t xml:space="preserve">Revenue ID</w:t>
      </w:r>
    </w:p>
    <w:p>
      <w:pPr>
        <w:pStyle w:val="Compact"/>
        <w:numPr>
          <w:ilvl w:val="0"/>
          <w:numId w:val="1032"/>
        </w:numPr>
      </w:pPr>
      <w:r>
        <w:t xml:space="preserve">Sector</w:t>
      </w:r>
    </w:p>
    <w:p>
      <w:pPr>
        <w:pStyle w:val="Compact"/>
        <w:numPr>
          <w:ilvl w:val="0"/>
          <w:numId w:val="1032"/>
        </w:numPr>
      </w:pPr>
      <w:r>
        <w:t xml:space="preserve">Amount</w:t>
      </w:r>
    </w:p>
    <w:p>
      <w:pPr>
        <w:pStyle w:val="Compact"/>
        <w:numPr>
          <w:ilvl w:val="0"/>
          <w:numId w:val="1032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81"/>
    <w:bookmarkStart w:id="82" w:name="profit-record"/>
    <w:p>
      <w:pPr>
        <w:pStyle w:val="Heading3"/>
      </w:pPr>
      <w:r>
        <w:t xml:space="preserve">Profit Record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3"/>
        </w:numPr>
      </w:pPr>
      <w:r>
        <w:t xml:space="preserve">Sector</w:t>
      </w:r>
    </w:p>
    <w:p>
      <w:pPr>
        <w:pStyle w:val="Compact"/>
        <w:numPr>
          <w:ilvl w:val="0"/>
          <w:numId w:val="1033"/>
        </w:numPr>
      </w:pPr>
      <w:r>
        <w:t xml:space="preserve">Revenue</w:t>
      </w:r>
    </w:p>
    <w:p>
      <w:pPr>
        <w:pStyle w:val="Compact"/>
        <w:numPr>
          <w:ilvl w:val="0"/>
          <w:numId w:val="1033"/>
        </w:numPr>
      </w:pPr>
      <w:r>
        <w:t xml:space="preserve">Cost</w:t>
      </w:r>
    </w:p>
    <w:p>
      <w:pPr>
        <w:pStyle w:val="Compact"/>
        <w:numPr>
          <w:ilvl w:val="0"/>
          <w:numId w:val="1033"/>
        </w:numPr>
      </w:pPr>
      <w:r>
        <w:t xml:space="preserve">Expense</w:t>
      </w:r>
    </w:p>
    <w:p>
      <w:pPr>
        <w:pStyle w:val="Compact"/>
        <w:numPr>
          <w:ilvl w:val="0"/>
          <w:numId w:val="1033"/>
        </w:numPr>
      </w:pPr>
      <w:r>
        <w:t xml:space="preserve">Profit</w:t>
      </w:r>
    </w:p>
    <w:p>
      <w:pPr>
        <w:pStyle w:val="Compact"/>
        <w:numPr>
          <w:ilvl w:val="0"/>
          <w:numId w:val="1033"/>
        </w:numPr>
      </w:pPr>
      <w:r>
        <w:t xml:space="preserve">Margin</w:t>
      </w:r>
    </w:p>
    <w:p>
      <w:r>
        <w:pict>
          <v:rect style="width:0;height:1.5pt" o:hralign="center" o:hrstd="t" o:hr="t"/>
        </w:pict>
      </w:r>
    </w:p>
    <w:bookmarkEnd w:id="82"/>
    <w:bookmarkStart w:id="83" w:name="kpi-target"/>
    <w:p>
      <w:pPr>
        <w:pStyle w:val="Heading3"/>
      </w:pPr>
      <w:r>
        <w:t xml:space="preserve">KPI Target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4"/>
        </w:numPr>
      </w:pPr>
      <w:r>
        <w:t xml:space="preserve">KPI Name</w:t>
      </w:r>
    </w:p>
    <w:p>
      <w:pPr>
        <w:pStyle w:val="Compact"/>
        <w:numPr>
          <w:ilvl w:val="0"/>
          <w:numId w:val="1034"/>
        </w:numPr>
      </w:pPr>
      <w:r>
        <w:t xml:space="preserve">Target Value</w:t>
      </w:r>
    </w:p>
    <w:p>
      <w:pPr>
        <w:pStyle w:val="Compact"/>
        <w:numPr>
          <w:ilvl w:val="0"/>
          <w:numId w:val="1034"/>
        </w:numPr>
      </w:pPr>
      <w:r>
        <w:t xml:space="preserve">Effective Date</w:t>
      </w:r>
    </w:p>
    <w:p>
      <w:pPr>
        <w:pStyle w:val="Compact"/>
        <w:numPr>
          <w:ilvl w:val="0"/>
          <w:numId w:val="1034"/>
        </w:numPr>
      </w:pPr>
      <w:r>
        <w:t xml:space="preserve">Modified By</w:t>
      </w:r>
    </w:p>
    <w:p>
      <w:r>
        <w:pict>
          <v:rect style="width:0;height:1.5pt" o:hralign="center" o:hrstd="t" o:hr="t"/>
        </w:pict>
      </w:r>
    </w:p>
    <w:bookmarkEnd w:id="83"/>
    <w:bookmarkStart w:id="84" w:name="alert"/>
    <w:p>
      <w:pPr>
        <w:pStyle w:val="Heading3"/>
      </w:pPr>
      <w:r>
        <w:t xml:space="preserve">Alert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5"/>
        </w:numPr>
      </w:pPr>
      <w:r>
        <w:t xml:space="preserve">Alert ID</w:t>
      </w:r>
    </w:p>
    <w:p>
      <w:pPr>
        <w:pStyle w:val="Compact"/>
        <w:numPr>
          <w:ilvl w:val="0"/>
          <w:numId w:val="1035"/>
        </w:numPr>
      </w:pPr>
      <w:r>
        <w:t xml:space="preserve">Severity</w:t>
      </w:r>
    </w:p>
    <w:p>
      <w:pPr>
        <w:pStyle w:val="Compact"/>
        <w:numPr>
          <w:ilvl w:val="0"/>
          <w:numId w:val="1035"/>
        </w:numPr>
      </w:pPr>
      <w:r>
        <w:t xml:space="preserve">Category</w:t>
      </w:r>
    </w:p>
    <w:p>
      <w:pPr>
        <w:pStyle w:val="Compact"/>
        <w:numPr>
          <w:ilvl w:val="0"/>
          <w:numId w:val="1035"/>
        </w:numPr>
      </w:pPr>
      <w:r>
        <w:t xml:space="preserve">Description</w:t>
      </w:r>
    </w:p>
    <w:p>
      <w:pPr>
        <w:pStyle w:val="Compact"/>
        <w:numPr>
          <w:ilvl w:val="0"/>
          <w:numId w:val="1035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84"/>
    <w:bookmarkStart w:id="85" w:name="approval-request"/>
    <w:p>
      <w:pPr>
        <w:pStyle w:val="Heading3"/>
      </w:pPr>
      <w:r>
        <w:t xml:space="preserve">Approval Request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6"/>
        </w:numPr>
      </w:pPr>
      <w:r>
        <w:t xml:space="preserve">Request ID</w:t>
      </w:r>
    </w:p>
    <w:p>
      <w:pPr>
        <w:pStyle w:val="Compact"/>
        <w:numPr>
          <w:ilvl w:val="0"/>
          <w:numId w:val="1036"/>
        </w:numPr>
      </w:pPr>
      <w:r>
        <w:t xml:space="preserve">Request Type</w:t>
      </w:r>
    </w:p>
    <w:p>
      <w:pPr>
        <w:pStyle w:val="Compact"/>
        <w:numPr>
          <w:ilvl w:val="0"/>
          <w:numId w:val="1036"/>
        </w:numPr>
      </w:pPr>
      <w:r>
        <w:t xml:space="preserve">Amount</w:t>
      </w:r>
    </w:p>
    <w:p>
      <w:pPr>
        <w:pStyle w:val="Compact"/>
        <w:numPr>
          <w:ilvl w:val="0"/>
          <w:numId w:val="1036"/>
        </w:numPr>
      </w:pPr>
      <w:r>
        <w:t xml:space="preserve">Department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Submitted By</w:t>
      </w:r>
    </w:p>
    <w:p>
      <w:r>
        <w:pict>
          <v:rect style="width:0;height:1.5pt" o:hralign="center" o:hrstd="t" o:hr="t"/>
        </w:pict>
      </w:r>
    </w:p>
    <w:bookmarkEnd w:id="85"/>
    <w:bookmarkStart w:id="86" w:name="approval-decision"/>
    <w:p>
      <w:pPr>
        <w:pStyle w:val="Heading3"/>
      </w:pPr>
      <w:r>
        <w:t xml:space="preserve">Approval Decision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7"/>
        </w:numPr>
      </w:pPr>
      <w:r>
        <w:t xml:space="preserve">Request ID</w:t>
      </w:r>
    </w:p>
    <w:p>
      <w:pPr>
        <w:pStyle w:val="Compact"/>
        <w:numPr>
          <w:ilvl w:val="0"/>
          <w:numId w:val="1037"/>
        </w:numPr>
      </w:pPr>
      <w:r>
        <w:t xml:space="preserve">Decision</w:t>
      </w:r>
    </w:p>
    <w:p>
      <w:pPr>
        <w:pStyle w:val="Compact"/>
        <w:numPr>
          <w:ilvl w:val="0"/>
          <w:numId w:val="1037"/>
        </w:numPr>
      </w:pPr>
      <w:r>
        <w:t xml:space="preserve">Decision Date</w:t>
      </w:r>
    </w:p>
    <w:p>
      <w:pPr>
        <w:pStyle w:val="Compact"/>
        <w:numPr>
          <w:ilvl w:val="0"/>
          <w:numId w:val="1037"/>
        </w:numPr>
      </w:pPr>
      <w:r>
        <w:t xml:space="preserve">Decision By</w:t>
      </w:r>
    </w:p>
    <w:p>
      <w:pPr>
        <w:pStyle w:val="Compact"/>
        <w:numPr>
          <w:ilvl w:val="0"/>
          <w:numId w:val="1037"/>
        </w:numPr>
      </w:pPr>
      <w:r>
        <w:t xml:space="preserve">Reason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data-retention"/>
    <w:p>
      <w:pPr>
        <w:pStyle w:val="Heading2"/>
      </w:pPr>
      <w:r>
        <w:t xml:space="preserve">7.2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Data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Records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Records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History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History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responsibility-matrix"/>
    <w:p>
      <w:pPr>
        <w:pStyle w:val="Heading1"/>
      </w:pPr>
      <w:r>
        <w:t xml:space="preserve">8. RESPONSIBILITY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Department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Financial 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KPI Targets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High-Value PO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Recommend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Write-Off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Recommend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Executive Hiring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Budget Review</w:t>
            </w:r>
          </w:p>
        </w:tc>
        <w:tc>
          <w:tcPr/>
          <w:p>
            <w:pPr>
              <w:pStyle w:val="Compact"/>
            </w:pPr>
            <w:r>
              <w:t xml:space="preserve">Recommend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Recommend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KPI Reports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Executive Reports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requirements-traceability-matrix"/>
    <w:p>
      <w:pPr>
        <w:pStyle w:val="Heading1"/>
      </w:pPr>
      <w:r>
        <w:t xml:space="preserve">9. REQUIREMENTS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Business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Executive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Financial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Risk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Approval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Asset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FR-036</w:t>
            </w:r>
          </w:p>
        </w:tc>
        <w:tc>
          <w:tcPr/>
          <w:p>
            <w:pPr>
              <w:pStyle w:val="Compact"/>
            </w:pPr>
            <w:r>
              <w:t xml:space="preserve">Executive Hiring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Executive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FR-048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System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SEC-010</w:t>
            </w:r>
          </w:p>
        </w:tc>
        <w:tc>
          <w:tcPr/>
          <w:p>
            <w:pPr>
              <w:pStyle w:val="Compact"/>
            </w:pPr>
            <w:r>
              <w:t xml:space="preserve">Audit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document-revision-history"/>
    <w:p>
      <w:pPr>
        <w:pStyle w:val="Heading1"/>
      </w:pPr>
      <w:r>
        <w:t xml:space="preserve">10. DOCUMENT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738"/>
        <w:gridCol w:w="1738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Systems Analysis Team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Systems Analysis Team</w:t>
            </w:r>
          </w:p>
        </w:tc>
        <w:tc>
          <w:tcPr/>
          <w:p>
            <w:pPr>
              <w:pStyle w:val="Compact"/>
            </w:pPr>
            <w:r>
              <w:t xml:space="preserve">Major revision: approval governance, security controls, KPI management, reporting, compliance, workflow corrections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end-of-ceo-executive-dashboard-module"/>
    <w:p>
      <w:pPr>
        <w:pStyle w:val="Heading1"/>
      </w:pPr>
      <w:r>
        <w:t xml:space="preserve">END OF CEO EXECUTIVE DASHBOARD MODULE</w:t>
      </w:r>
    </w:p>
    <w:bookmarkEnd w:id="93"/>
    <w:bookmarkStart w:id="94" w:name="version-2.0"/>
    <w:p>
      <w:pPr>
        <w:pStyle w:val="Heading1"/>
      </w:pPr>
      <w:r>
        <w:t xml:space="preserve">VERSION 2.0</w:t>
      </w:r>
    </w:p>
    <w:bookmarkEnd w:id="94"/>
    <w:bookmarkStart w:id="95" w:name="sutana-enterprise-management-system"/>
    <w:p>
      <w:pPr>
        <w:pStyle w:val="Heading1"/>
      </w:pPr>
      <w:r>
        <w:t xml:space="preserve">SUTANA ENTERPRISE MANAGEMENT SYSTEM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2026-06-17T12:24:31Z</dcterms:created>
  <dcterms:modified xsi:type="dcterms:W3CDTF">2026-06-17T12:24:31Z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