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bookmarkStart w:id="0" w:name="_Hlt37994242"/>
      <w:bookmarkEnd w:id="0"/>
    </w:p>
    <w:p/>
    <w:p/>
    <w:p>
      <w:pPr>
        <w:jc w:val="center"/>
        <w:rPr>
          <w:rFonts w:hint="eastAsia" w:eastAsia="宋体"/>
          <w:b/>
          <w:bCs/>
          <w:sz w:val="52"/>
          <w:szCs w:val="52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中邮保险广东分公司</w:t>
      </w:r>
    </w:p>
    <w:p>
      <w:pPr>
        <w:jc w:val="center"/>
        <w:rPr>
          <w:rFonts w:hint="eastAsia" w:eastAsia="宋体"/>
          <w:b/>
          <w:bCs/>
          <w:sz w:val="52"/>
          <w:szCs w:val="52"/>
          <w:lang w:eastAsia="zh-CN"/>
        </w:rPr>
      </w:pPr>
      <w:r>
        <w:rPr>
          <w:rFonts w:hint="eastAsia"/>
          <w:b/>
          <w:bCs/>
          <w:sz w:val="52"/>
          <w:szCs w:val="52"/>
          <w:lang w:eastAsia="zh-CN"/>
        </w:rPr>
        <w:t>运营管理系统</w:t>
      </w:r>
    </w:p>
    <w:p>
      <w:pPr>
        <w:jc w:val="center"/>
        <w:rPr>
          <w:sz w:val="48"/>
          <w:szCs w:val="48"/>
        </w:rPr>
      </w:pPr>
    </w:p>
    <w:p>
      <w:pPr>
        <w:jc w:val="center"/>
        <w:rPr>
          <w:rFonts w:ascii="黑体" w:eastAsia="黑体"/>
          <w:b/>
          <w:bCs/>
          <w:color w:val="000000"/>
          <w:kern w:val="0"/>
          <w:sz w:val="44"/>
          <w:szCs w:val="44"/>
        </w:rPr>
      </w:pPr>
      <w:r>
        <w:rPr>
          <w:rFonts w:hint="eastAsia" w:ascii="黑体" w:eastAsia="黑体"/>
          <w:b/>
          <w:bCs/>
          <w:color w:val="000000"/>
          <w:kern w:val="0"/>
          <w:sz w:val="44"/>
          <w:szCs w:val="44"/>
        </w:rPr>
        <w:t>系统操作手册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spacing w:line="360" w:lineRule="auto"/>
        <w:jc w:val="center"/>
        <w:rPr>
          <w:rFonts w:hint="eastAsia" w:eastAsia="宋体"/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>中邮保险广东分公司</w:t>
      </w:r>
    </w:p>
    <w:p>
      <w:pPr>
        <w:jc w:val="center"/>
        <w:rPr>
          <w:b/>
          <w:bCs/>
        </w:rPr>
      </w:pPr>
      <w:bookmarkStart w:id="1" w:name="_Toc395824852"/>
      <w:r>
        <w:rPr>
          <w:rFonts w:hint="eastAsia"/>
          <w:b/>
          <w:sz w:val="32"/>
          <w:szCs w:val="32"/>
        </w:rPr>
        <w:t>201</w:t>
      </w:r>
      <w:r>
        <w:rPr>
          <w:rFonts w:hint="eastAsia"/>
          <w:b/>
          <w:sz w:val="32"/>
          <w:szCs w:val="32"/>
          <w:lang w:val="en-US" w:eastAsia="zh-CN"/>
        </w:rPr>
        <w:t>5</w:t>
      </w:r>
      <w:bookmarkStart w:id="23" w:name="_GoBack"/>
      <w:bookmarkEnd w:id="23"/>
      <w:r>
        <w:rPr>
          <w:rFonts w:hint="eastAsia"/>
          <w:b/>
          <w:sz w:val="32"/>
          <w:szCs w:val="32"/>
        </w:rPr>
        <w:t>年9月</w:t>
      </w:r>
      <w:bookmarkEnd w:id="1"/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jc w:val="center"/>
        <w:rPr>
          <w:b/>
          <w:bCs/>
        </w:rPr>
      </w:pPr>
    </w:p>
    <w:p>
      <w:pPr>
        <w:pStyle w:val="5"/>
        <w:ind w:firstLine="643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目      录</w:t>
      </w:r>
    </w:p>
    <w:p>
      <w:pPr>
        <w:pStyle w:val="5"/>
        <w:ind w:firstLine="643"/>
        <w:jc w:val="center"/>
        <w:rPr>
          <w:b/>
          <w:bCs/>
          <w:sz w:val="32"/>
        </w:rPr>
      </w:pP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 xml:space="preserve">TOC \o "1-3" \h \z \u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_Toc3041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一</w:t>
      </w:r>
      <w:r>
        <w:rPr>
          <w:rFonts w:hint="eastAsia" w:ascii="宋体" w:hAnsi="宋体" w:eastAsia="宋体" w:cs="Times New Roman"/>
          <w:bCs/>
          <w:kern w:val="44"/>
          <w:szCs w:val="44"/>
          <w:lang w:val="en-US" w:eastAsia="zh-CN" w:bidi="ar-SA"/>
        </w:rPr>
        <w:t xml:space="preserve">、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系统介绍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_Toc3041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宋体" w:hAnsi="宋体" w:eastAsia="宋体" w:cs="Times New Roman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_Toc5458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二</w:t>
      </w:r>
      <w:r>
        <w:rPr>
          <w:rFonts w:hint="eastAsia" w:ascii="宋体" w:hAnsi="宋体" w:eastAsia="宋体" w:cs="Times New Roman"/>
          <w:bCs/>
          <w:kern w:val="44"/>
          <w:szCs w:val="44"/>
          <w:lang w:val="en-US" w:eastAsia="zh-CN" w:bidi="ar-SA"/>
        </w:rPr>
        <w:t xml:space="preserve">、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功能版块及操作步骤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_Toc5458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eastAsia" w:ascii="宋体" w:hAnsi="宋体" w:eastAsia="宋体" w:cs="Times New Roman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_Toc17029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登录及操作界面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_Toc17029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_Toc20293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2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数据导入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_Toc20293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6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_Toc22826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3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代办任务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_Toc22826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9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_Toc9090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4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契约管理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_Toc9090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10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_Toc25367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5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保全管理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_Toc25367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11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_Toc1132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6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电话回访管理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_Toc1132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12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_Toc3166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7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客服管理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_Toc3166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13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_Toc19495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8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续期管理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_Toc19495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14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_Toc29597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9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发票管理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_Toc29597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_Toc16313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0.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基本类型维护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_Toc16313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15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="Calibri" w:hAnsi="Calibri" w:eastAsia="宋体" w:cs="Times New Roman"/>
          <w:kern w:val="2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HYPERLINK \l _Toc28445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</w:t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t xml:space="preserve">1. </w:t>
      </w:r>
      <w:r>
        <w:rPr>
          <w:rFonts w:hint="eastAsia" w:ascii="Calibri" w:hAnsi="Calibri" w:eastAsia="宋体" w:cs="Times New Roman"/>
          <w:kern w:val="2"/>
          <w:szCs w:val="22"/>
          <w:lang w:val="en-US" w:eastAsia="zh-CN" w:bidi="ar-SA"/>
        </w:rPr>
        <w:t>安全管理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ab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instrText xml:space="preserve"> PAGEREF _Toc28445 </w:instrTex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separate"/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t>16</w:t>
      </w: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  <w:r>
        <w:rPr>
          <w:rFonts w:hint="default" w:ascii="Arial" w:hAnsi="Arial" w:eastAsia="黑体" w:cs="Times New Roman"/>
          <w:bCs/>
          <w:kern w:val="2"/>
          <w:szCs w:val="32"/>
          <w:lang w:val="en-US" w:eastAsia="zh-CN" w:bidi="ar-SA"/>
        </w:rPr>
        <w:fldChar w:fldCharType="end"/>
      </w:r>
    </w:p>
    <w:p>
      <w:pPr>
        <w:spacing w:line="360" w:lineRule="auto"/>
        <w:ind w:firstLine="420"/>
        <w:rPr>
          <w:sz w:val="24"/>
        </w:rPr>
      </w:pPr>
      <w:r>
        <w:rPr>
          <w:rFonts w:ascii="Calibri" w:hAnsi="Calibri" w:eastAsia="宋体" w:cs="Times New Roman"/>
          <w:kern w:val="2"/>
          <w:szCs w:val="22"/>
          <w:lang w:val="en-US" w:eastAsia="zh-CN" w:bidi="ar-SA"/>
        </w:rPr>
        <w:fldChar w:fldCharType="end"/>
      </w:r>
    </w:p>
    <w:p>
      <w:pPr>
        <w:spacing w:line="360" w:lineRule="auto"/>
        <w:ind w:firstLine="420"/>
        <w:rPr>
          <w:sz w:val="24"/>
        </w:rPr>
      </w:pPr>
      <w:r>
        <w:rPr>
          <w:sz w:val="24"/>
        </w:rPr>
        <w:br w:type="page"/>
      </w:r>
    </w:p>
    <w:p>
      <w:pPr>
        <w:pStyle w:val="2"/>
        <w:numPr>
          <w:ilvl w:val="0"/>
          <w:numId w:val="1"/>
        </w:numPr>
      </w:pPr>
      <w:bookmarkStart w:id="2" w:name="_Hlt38424251"/>
      <w:bookmarkEnd w:id="2"/>
      <w:bookmarkStart w:id="3" w:name="_Hlt51435841"/>
      <w:bookmarkEnd w:id="3"/>
      <w:bookmarkStart w:id="4" w:name="_Hlt51435935"/>
      <w:bookmarkEnd w:id="4"/>
      <w:bookmarkStart w:id="5" w:name="_Hlt51436078"/>
      <w:bookmarkEnd w:id="5"/>
      <w:bookmarkStart w:id="6" w:name="_Hlt51436425"/>
      <w:bookmarkEnd w:id="6"/>
      <w:bookmarkStart w:id="7" w:name="_Hlt53379679"/>
      <w:bookmarkEnd w:id="7"/>
      <w:bookmarkStart w:id="8" w:name="_Hlt53722084"/>
      <w:bookmarkEnd w:id="8"/>
      <w:bookmarkStart w:id="9" w:name="_Hlt53723979"/>
      <w:bookmarkEnd w:id="9"/>
      <w:bookmarkStart w:id="10" w:name="_Toc3041"/>
      <w:r>
        <w:rPr>
          <w:rFonts w:hint="eastAsia"/>
        </w:rPr>
        <w:t>系统介绍</w:t>
      </w:r>
      <w:bookmarkEnd w:id="10"/>
    </w:p>
    <w:p>
      <w:pPr>
        <w:ind w:firstLine="566" w:firstLineChars="236"/>
        <w:rPr>
          <w:sz w:val="28"/>
          <w:szCs w:val="28"/>
        </w:rPr>
      </w:pPr>
      <w:r>
        <w:rPr>
          <w:rFonts w:hint="eastAsia"/>
          <w:sz w:val="28"/>
          <w:szCs w:val="28"/>
        </w:rPr>
        <w:t>运营管理系统是为了尽可能信息化运营管理过程中形成的问题工单、回访不成功件、保全复核发现的问题、续期催收的跟进以及新契约不合格件的闭环管理。</w:t>
      </w:r>
    </w:p>
    <w:p>
      <w:pPr>
        <w:ind w:firstLine="566" w:firstLineChars="236"/>
        <w:rPr>
          <w:sz w:val="28"/>
          <w:szCs w:val="28"/>
        </w:rPr>
      </w:pPr>
      <w:r>
        <w:rPr>
          <w:rFonts w:hint="eastAsia"/>
          <w:sz w:val="28"/>
          <w:szCs w:val="28"/>
        </w:rPr>
        <w:t>系统提供两大部分。</w:t>
      </w:r>
    </w:p>
    <w:p>
      <w:pPr>
        <w:ind w:firstLine="566" w:firstLineChars="236"/>
        <w:rPr>
          <w:sz w:val="28"/>
          <w:szCs w:val="28"/>
        </w:rPr>
      </w:pPr>
      <w:r>
        <w:rPr>
          <w:rFonts w:hint="eastAsia"/>
          <w:sz w:val="28"/>
          <w:szCs w:val="28"/>
        </w:rPr>
        <w:t>第一部分为网站部分，提供便捷直观的待办任务列表，同时可以直接了解到当前省内已经上线销售的产品列表，以及</w:t>
      </w:r>
      <w:r>
        <w:rPr>
          <w:rFonts w:hint="eastAsia"/>
          <w:b/>
          <w:sz w:val="28"/>
          <w:szCs w:val="28"/>
        </w:rPr>
        <w:t>产品相关的介绍，投保规则，投保注意事项，填单注意事项，邮保通出单限额、邮保通出单常见问题</w:t>
      </w:r>
      <w:r>
        <w:rPr>
          <w:rFonts w:hint="eastAsia"/>
          <w:sz w:val="28"/>
          <w:szCs w:val="28"/>
        </w:rPr>
        <w:t>等方面的功能（手机辅助工具功能移植，</w:t>
      </w:r>
      <w:r>
        <w:rPr>
          <w:rFonts w:hint="eastAsia"/>
          <w:b/>
          <w:color w:val="FF0000"/>
          <w:sz w:val="28"/>
          <w:szCs w:val="28"/>
        </w:rPr>
        <w:t>但是目前还没有对此部分完成移植</w:t>
      </w:r>
      <w:r>
        <w:rPr>
          <w:rFonts w:hint="eastAsia"/>
          <w:sz w:val="28"/>
          <w:szCs w:val="28"/>
        </w:rPr>
        <w:t>，此部分可以方便日后</w:t>
      </w:r>
      <w:r>
        <w:rPr>
          <w:rFonts w:hint="eastAsia"/>
          <w:b/>
          <w:sz w:val="28"/>
          <w:szCs w:val="28"/>
        </w:rPr>
        <w:t>微信应用</w:t>
      </w:r>
      <w:r>
        <w:rPr>
          <w:rFonts w:hint="eastAsia"/>
          <w:sz w:val="28"/>
          <w:szCs w:val="28"/>
        </w:rPr>
        <w:t>的直接使用）。</w:t>
      </w:r>
    </w:p>
    <w:p>
      <w:pPr>
        <w:ind w:firstLine="566" w:firstLineChars="236"/>
        <w:rPr>
          <w:sz w:val="28"/>
          <w:szCs w:val="28"/>
        </w:rPr>
      </w:pPr>
      <w:r>
        <w:rPr>
          <w:rFonts w:hint="eastAsia"/>
          <w:sz w:val="28"/>
          <w:szCs w:val="28"/>
        </w:rPr>
        <w:t>第二部分为后台管理模块，包括所有的功能维护和业务功能管理。</w: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2" o:spid="_x0000_s1026" type="#_x0000_t75" style="height:177.2pt;width:41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1" o:spid="_x0000_s1027" type="#_x0000_t75" style="height:228.5pt;width:41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numPr>
          <w:ilvl w:val="0"/>
          <w:numId w:val="1"/>
        </w:numPr>
      </w:pPr>
      <w:bookmarkStart w:id="11" w:name="_Toc5458"/>
      <w:r>
        <w:rPr>
          <w:rFonts w:hint="eastAsia"/>
        </w:rPr>
        <w:t>功能版块及操作步骤</w:t>
      </w:r>
      <w:bookmarkEnd w:id="11"/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12" w:name="_Toc17029"/>
      <w:r>
        <w:rPr>
          <w:rFonts w:hint="eastAsia"/>
          <w:lang w:val="en-US" w:eastAsia="zh-CN"/>
        </w:rPr>
        <w:t>登录及操作界面</w:t>
      </w:r>
      <w:bookmarkEnd w:id="12"/>
    </w:p>
    <w:p>
      <w:pPr>
        <w:ind w:firstLine="566" w:firstLineChars="236"/>
        <w:rPr>
          <w:sz w:val="28"/>
          <w:szCs w:val="28"/>
        </w:rPr>
      </w:pPr>
      <w:r>
        <w:rPr>
          <w:rFonts w:hint="eastAsia"/>
          <w:sz w:val="28"/>
          <w:szCs w:val="28"/>
        </w:rPr>
        <w:t>网站常规登录：（注：网站部分的代办任务、上线产品、常见问题等共模块尚未完成——</w:t>
      </w:r>
      <w:r>
        <w:rPr>
          <w:rFonts w:hint="eastAsia"/>
          <w:b/>
          <w:sz w:val="28"/>
          <w:szCs w:val="28"/>
        </w:rPr>
        <w:t>计划列入二期功能</w:t>
      </w:r>
      <w:r>
        <w:rPr>
          <w:rFonts w:hint="eastAsia"/>
          <w:sz w:val="28"/>
          <w:szCs w:val="28"/>
        </w:rPr>
        <w:t>）</w:t>
      </w:r>
    </w:p>
    <w:p>
      <w:pPr>
        <w:ind w:firstLine="566" w:firstLineChars="236"/>
        <w:rPr>
          <w:sz w:val="28"/>
          <w:szCs w:val="28"/>
        </w:rPr>
      </w:pPr>
      <w:r>
        <w:rPr>
          <w:rFonts w:hint="eastAsia"/>
          <w:sz w:val="28"/>
          <w:szCs w:val="28"/>
        </w:rPr>
        <w:t>地址：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"http://192.168.235.241:8080" </w:instrText>
      </w:r>
      <w:r>
        <w:rPr>
          <w:sz w:val="28"/>
          <w:szCs w:val="28"/>
        </w:rPr>
        <w:fldChar w:fldCharType="separate"/>
      </w:r>
      <w:r>
        <w:rPr>
          <w:rStyle w:val="13"/>
          <w:rFonts w:hint="eastAsia"/>
          <w:sz w:val="28"/>
          <w:szCs w:val="28"/>
        </w:rPr>
        <w:t>http://192.168.235.241:8080</w:t>
      </w:r>
      <w:r>
        <w:rPr>
          <w:rStyle w:val="13"/>
          <w:sz w:val="28"/>
          <w:szCs w:val="28"/>
        </w:rPr>
        <w:fldChar w:fldCharType="end"/>
      </w:r>
    </w:p>
    <w:p>
      <w:pPr>
        <w:ind w:firstLine="566" w:firstLineChars="236"/>
        <w:rPr>
          <w:sz w:val="28"/>
          <w:szCs w:val="28"/>
        </w:rPr>
      </w:pPr>
      <w:r>
        <w:rPr>
          <w:rFonts w:hint="eastAsia"/>
          <w:sz w:val="28"/>
          <w:szCs w:val="28"/>
        </w:rPr>
        <w:t>用户名：核心系统工号，密码默认为123456。</w: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3" o:spid="_x0000_s1028" type="#_x0000_t75" style="height:290.5pt;width:41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566" w:firstLineChars="236"/>
        <w:rPr>
          <w:sz w:val="28"/>
          <w:szCs w:val="28"/>
        </w:rPr>
      </w:pPr>
      <w:r>
        <w:rPr>
          <w:rFonts w:hint="eastAsia"/>
          <w:sz w:val="28"/>
          <w:szCs w:val="28"/>
        </w:rPr>
        <w:t>登录后默认查看待办任务，如果有未完成的任务，右下角会不断弹窗提醒哦！</w: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4" o:spid="_x0000_s1029" type="#_x0000_t75" style="height:228.5pt;width:41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登录后主面板的功能分区介绍。</w: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5" o:spid="_x0000_s1030" type="#_x0000_t75" style="height:228.5pt;width:41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13" w:name="_Toc20293"/>
      <w:r>
        <w:rPr>
          <w:rFonts w:hint="eastAsia"/>
          <w:lang w:val="en-US" w:eastAsia="zh-CN"/>
        </w:rPr>
        <w:t>数据导入</w:t>
      </w:r>
      <w:bookmarkEnd w:id="13"/>
    </w:p>
    <w:p>
      <w:pPr>
        <w:numPr>
          <w:ilvl w:val="0"/>
          <w:numId w:val="3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功能介绍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数据导入包括：</w: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6" o:spid="_x0000_s1031" type="#_x0000_t75" style="height:180.95pt;width:128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承保清单导入</w:t>
      </w:r>
      <w:r>
        <w:rPr>
          <w:rFonts w:hint="eastAsia"/>
          <w:sz w:val="28"/>
          <w:szCs w:val="28"/>
        </w:rPr>
        <w:t>：保单数据为核心系统导出来的承保清单数据。其中保单数据中涉及客户名、金额、客户联系信息的数据采取加密方式存储。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承保业务信息清单</w:t>
      </w:r>
      <w:r>
        <w:rPr>
          <w:rFonts w:hint="eastAsia"/>
          <w:sz w:val="28"/>
          <w:szCs w:val="28"/>
        </w:rPr>
        <w:t>：可选导入。涉及客户的敏感信息将会加密存储。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问题工单导入</w:t>
      </w:r>
      <w:r>
        <w:rPr>
          <w:rFonts w:hint="eastAsia"/>
          <w:sz w:val="28"/>
          <w:szCs w:val="28"/>
        </w:rPr>
        <w:t>：跟进客服系统下载的问题工单进行导入，涉及客户的敏感信息将会加密存储。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回访不成功清单</w:t>
      </w:r>
      <w:r>
        <w:rPr>
          <w:rFonts w:hint="eastAsia"/>
          <w:sz w:val="28"/>
          <w:szCs w:val="28"/>
        </w:rPr>
        <w:t>：由客服系统直接下载的回访不成功清单。涉及客户的敏感信息将会加密存储。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11185回访数据</w:t>
      </w:r>
      <w:r>
        <w:rPr>
          <w:rFonts w:hint="eastAsia"/>
          <w:sz w:val="28"/>
          <w:szCs w:val="28"/>
        </w:rPr>
        <w:t>：根据11185回访登记的数据更新上面“回访不成功清单”。注意，此功能需要根据系统要求调整上传的数据格式。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续期应交清单</w:t>
      </w:r>
      <w:r>
        <w:rPr>
          <w:rFonts w:hint="eastAsia"/>
          <w:sz w:val="28"/>
          <w:szCs w:val="28"/>
        </w:rPr>
        <w:t>：根据客服系统下载的续期应交清单导入。涉及客户的敏感信息将会加密存储。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续期继续率清单</w:t>
      </w:r>
      <w:r>
        <w:rPr>
          <w:rFonts w:hint="eastAsia"/>
          <w:sz w:val="28"/>
          <w:szCs w:val="28"/>
        </w:rPr>
        <w:t>：根据总部提供的续期继续率清单，更新“续期应交清单”已经导入系统的数据和状态。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总部催收清单</w:t>
      </w:r>
      <w:r>
        <w:rPr>
          <w:rFonts w:hint="eastAsia"/>
          <w:sz w:val="28"/>
          <w:szCs w:val="28"/>
        </w:rPr>
        <w:t>：将总部催收的信息更新在“续期应交清单”的记录中。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划扣费清单</w:t>
      </w:r>
      <w:r>
        <w:rPr>
          <w:rFonts w:hint="eastAsia"/>
          <w:sz w:val="28"/>
          <w:szCs w:val="28"/>
        </w:rPr>
        <w:t>：暂未实现。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抽检填写明细</w:t>
      </w:r>
      <w:r>
        <w:rPr>
          <w:rFonts w:hint="eastAsia"/>
          <w:sz w:val="28"/>
          <w:szCs w:val="28"/>
        </w:rPr>
        <w:t>：根据抽检系统下载的填写数据进行导入，所有数据将会导入，主要是为了后期的数据分析。</w:t>
      </w:r>
    </w:p>
    <w:p>
      <w:pPr>
        <w:ind w:firstLine="42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抽检录入明细</w:t>
      </w:r>
      <w:r>
        <w:rPr>
          <w:rFonts w:hint="eastAsia"/>
          <w:sz w:val="28"/>
          <w:szCs w:val="28"/>
        </w:rPr>
        <w:t>：根据抽检系统下载的录入数据进行导入，所有的数据将会导入，主要是为了后期的数据分析。</w:t>
      </w:r>
    </w:p>
    <w:p>
      <w:pPr>
        <w:ind w:firstLine="420"/>
        <w:rPr>
          <w:sz w:val="28"/>
          <w:szCs w:val="28"/>
        </w:rPr>
      </w:pPr>
    </w:p>
    <w:p>
      <w:pPr>
        <w:numPr>
          <w:ilvl w:val="0"/>
          <w:numId w:val="3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所需角色：</w:t>
      </w:r>
    </w:p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系统管理员或者分公司各管理岗。</w:t>
      </w:r>
    </w:p>
    <w:p>
      <w:pPr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操作步骤：</w:t>
      </w:r>
    </w:p>
    <w:p>
      <w:pPr>
        <w:ind w:firstLine="425" w:firstLineChars="177"/>
        <w:rPr>
          <w:sz w:val="28"/>
          <w:szCs w:val="28"/>
        </w:rPr>
      </w:pPr>
      <w:r>
        <w:rPr>
          <w:rFonts w:hint="eastAsia"/>
          <w:sz w:val="28"/>
          <w:szCs w:val="28"/>
        </w:rPr>
        <w:t>根据菜单会自动选择对应的模板，也可以根据实际数据选择不同的模板，点击选择文件根据选择的对话框进行文件选择。</w:t>
      </w:r>
    </w:p>
    <w:p>
      <w:pPr>
        <w:ind w:firstLine="425" w:firstLineChars="177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注意：只有Excel文件（xls、csv）才能成功选择并列在列表中，其他类型文件无法列出。</w: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7" o:spid="_x0000_s1032" type="#_x0000_t75" style="height:108.95pt;width:413.8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5" w:firstLineChars="177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依次点击菜单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选择文件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开始上传，即可，上传成功会提示相关成功信息。</w:t>
      </w:r>
    </w:p>
    <w:p>
      <w:pPr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8" o:spid="_x0000_s1033" type="#_x0000_t75" style="height:166.55pt;width:41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数据导入补充说明：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续期数据的导入有三种数据导入</w:t>
      </w:r>
      <w:r>
        <w:rPr>
          <w:rFonts w:hint="eastAsia"/>
          <w:sz w:val="28"/>
          <w:szCs w:val="28"/>
        </w:rPr>
        <w:t>：续期应收，继续率，总部催收数据。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客服数据的导入也可以有两种数据</w:t>
      </w:r>
      <w:r>
        <w:rPr>
          <w:rFonts w:hint="eastAsia"/>
          <w:sz w:val="28"/>
          <w:szCs w:val="28"/>
        </w:rPr>
        <w:t>：回访不成功列表，11185催收数据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（注：客服数据的回信数据暂未处理，需要进一步明确是延伸系统还是数据导入方式）</w: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14" w:name="_Toc22826"/>
      <w:r>
        <w:rPr>
          <w:rFonts w:hint="eastAsia"/>
          <w:lang w:val="en-US" w:eastAsia="zh-CN"/>
        </w:rPr>
        <w:t>代办任务</w:t>
      </w:r>
      <w:bookmarkEnd w:id="14"/>
    </w:p>
    <w:p>
      <w:pPr>
        <w:numPr>
          <w:ilvl w:val="0"/>
          <w:numId w:val="3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功能介绍</w: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9" o:spid="_x0000_s1034" type="#_x0000_t75" style="height:66.35pt;width:13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5" w:firstLineChars="177"/>
        <w:rPr>
          <w:sz w:val="28"/>
          <w:szCs w:val="28"/>
        </w:rPr>
      </w:pPr>
      <w:r>
        <w:rPr>
          <w:rFonts w:hint="eastAsia"/>
          <w:sz w:val="28"/>
          <w:szCs w:val="28"/>
        </w:rPr>
        <w:t>待办任务列表：采取标签页方式，目前此版本的提醒不够人性化，不建议使用此功能方式，因为每次需要点击各个标签页才知道是否存在待办任务。</w: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10" o:spid="_x0000_s1035" type="#_x0000_t75" style="height:141.5pt;width:414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5" w:firstLineChars="177"/>
        <w:rPr>
          <w:sz w:val="28"/>
          <w:szCs w:val="28"/>
        </w:rPr>
      </w:pPr>
      <w:r>
        <w:rPr>
          <w:rFonts w:hint="eastAsia"/>
          <w:sz w:val="28"/>
          <w:szCs w:val="28"/>
        </w:rPr>
        <w:t>待办任务列表（面板方式）：建议采取此功能查看待办任务，如果存在待办任务，面板会自动展开，且有“</w:t>
      </w:r>
      <w:r>
        <w:rPr>
          <w:rFonts w:hint="eastAsia"/>
          <w:b/>
          <w:color w:val="FF0000"/>
          <w:sz w:val="28"/>
          <w:szCs w:val="28"/>
        </w:rPr>
        <w:t>红点</w:t>
      </w:r>
      <w:r>
        <w:rPr>
          <w:rFonts w:hint="eastAsia"/>
          <w:sz w:val="28"/>
          <w:szCs w:val="28"/>
        </w:rPr>
        <w:t>”提醒。</w:t>
      </w:r>
    </w:p>
    <w:p>
      <w:pPr>
        <w:ind w:firstLine="425" w:firstLineChars="177"/>
        <w:rPr>
          <w:sz w:val="28"/>
          <w:szCs w:val="28"/>
        </w:rPr>
      </w:pPr>
      <w:r>
        <w:rPr>
          <w:rFonts w:hint="eastAsia"/>
          <w:sz w:val="28"/>
          <w:szCs w:val="28"/>
        </w:rPr>
        <w:t>如果存在待办任务，点击具体的列表可进行相关回复处理操作。</w: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11" o:spid="_x0000_s1036" type="#_x0000_t75" style="height:164.05pt;width:413.8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点击工单号可以进行处理。</w:t>
      </w:r>
      <w:r>
        <w:rPr>
          <w:rFonts w:hint="eastAsia"/>
          <w:b/>
          <w:color w:val="FF0000"/>
          <w:sz w:val="28"/>
          <w:szCs w:val="28"/>
        </w:rPr>
        <w:t>注：如果是市县机构登录，默认是查看待处理状态的工单；如果是分公司的登录，默认查看的是市县处理后的状态（需结案的状态）。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点击工单号直接回复：</w:t>
      </w:r>
    </w:p>
    <w:p>
      <w:pPr>
        <w:rPr>
          <w:sz w:val="28"/>
          <w:szCs w:val="28"/>
        </w:rPr>
      </w:pPr>
      <w:r>
        <w:rPr>
          <w:rFonts w:ascii="Calibri" w:hAnsi="Calibri" w:eastAsia="宋体" w:cs="Times New Roman"/>
          <w:kern w:val="2"/>
          <w:sz w:val="28"/>
          <w:szCs w:val="28"/>
          <w:lang w:val="en-US" w:eastAsia="zh-CN" w:bidi="ar-SA"/>
        </w:rPr>
        <w:pict>
          <v:shape id="图片 12" o:spid="_x0000_s1037" type="#_x0000_t75" style="height:224.75pt;width:368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15" w:name="_Toc9090"/>
      <w:r>
        <w:rPr>
          <w:rFonts w:hint="eastAsia"/>
          <w:lang w:val="en-US" w:eastAsia="zh-CN"/>
        </w:rPr>
        <w:t>契约管理</w:t>
      </w:r>
      <w:bookmarkEnd w:id="15"/>
    </w:p>
    <w:p>
      <w:pPr>
        <w:ind w:firstLine="425" w:firstLineChars="177"/>
        <w:rPr>
          <w:sz w:val="28"/>
          <w:szCs w:val="28"/>
        </w:rPr>
      </w:pPr>
      <w:r>
        <w:rPr>
          <w:rFonts w:hint="eastAsia"/>
          <w:sz w:val="28"/>
          <w:szCs w:val="28"/>
        </w:rPr>
        <w:t>填写不合格件管理：针对契约填写不合格件进行跟踪管理</w:t>
      </w:r>
      <w:r>
        <w:rPr>
          <w:rFonts w:hint="eastAsia"/>
          <w:sz w:val="28"/>
          <w:szCs w:val="28"/>
          <w:lang w:eastAsia="zh-CN"/>
        </w:rPr>
        <w:t>，数据来源于核心业务系统抽检明细数据</w:t>
      </w:r>
      <w:r>
        <w:rPr>
          <w:rFonts w:hint="eastAsia"/>
          <w:sz w:val="28"/>
          <w:szCs w:val="28"/>
        </w:rPr>
        <w:t>。</w:t>
      </w:r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录入不合格件管理：针对契约录入不合格件进行管理</w:t>
      </w:r>
      <w:r>
        <w:rPr>
          <w:rFonts w:hint="eastAsia"/>
          <w:sz w:val="28"/>
          <w:szCs w:val="28"/>
          <w:lang w:eastAsia="zh-CN"/>
        </w:rPr>
        <w:t>，数据来源与核心业务系统抽检明细数据</w:t>
      </w:r>
      <w:r>
        <w:rPr>
          <w:rFonts w:hint="eastAsia"/>
          <w:sz w:val="28"/>
          <w:szCs w:val="28"/>
        </w:rPr>
        <w:t>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角色要求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省分、市、县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操作介绍</w:t>
      </w:r>
    </w:p>
    <w:p>
      <w:pPr>
        <w:numPr>
          <w:numId w:val="0"/>
        </w:numPr>
        <w:ind w:leftChars="0"/>
        <w:rPr>
          <w:rFonts w:hint="eastAsia"/>
          <w:b w:val="0"/>
          <w:bCs w:val="0"/>
          <w:sz w:val="28"/>
          <w:szCs w:val="28"/>
          <w:lang w:eastAsia="zh-CN"/>
        </w:rPr>
      </w:pPr>
      <w:r>
        <w:rPr>
          <w:rFonts w:hint="eastAsia"/>
          <w:b w:val="0"/>
          <w:bCs w:val="0"/>
          <w:sz w:val="28"/>
          <w:szCs w:val="28"/>
          <w:lang w:eastAsia="zh-CN"/>
        </w:rPr>
        <w:t>选择具体记录，点击查看新契约不合格件，可以看到具体详情信息，包括具体错误项目。</w:t>
      </w:r>
    </w:p>
    <w:p>
      <w:pPr>
        <w:numPr>
          <w:numId w:val="0"/>
        </w:numPr>
        <w:ind w:leftChars="0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 w:val="0"/>
          <w:bCs w:val="0"/>
          <w:sz w:val="28"/>
          <w:szCs w:val="28"/>
          <w:lang w:eastAsia="zh-CN"/>
        </w:rPr>
        <w:t>回复新契约不合格件：</w:t>
      </w:r>
      <w:r>
        <w:rPr>
          <w:rFonts w:hint="eastAsia"/>
          <w:b/>
          <w:bCs/>
          <w:sz w:val="28"/>
          <w:szCs w:val="28"/>
          <w:lang w:eastAsia="zh-CN"/>
        </w:rPr>
        <w:t>针对不合格件进行整改后的回复记录。</w:t>
      </w:r>
    </w:p>
    <w:p>
      <w:pPr>
        <w:numPr>
          <w:numId w:val="0"/>
        </w:numPr>
        <w:ind w:leftChars="0"/>
        <w:rPr>
          <w:rFonts w:hint="eastAsia"/>
          <w:b/>
          <w:bCs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可以通过设计不同的查询条件，查询不合格件的情况。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1" o:spid="_x0000_s1038" type="#_x0000_t75" style="height:256.7pt;width:414.6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5" w:firstLineChars="177"/>
        <w:rPr>
          <w:rFonts w:hint="eastAsia"/>
          <w:sz w:val="28"/>
          <w:szCs w:val="28"/>
          <w:lang w:eastAsia="zh-CN"/>
        </w:rPr>
      </w:pP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16" w:name="_Toc25367"/>
      <w:r>
        <w:rPr>
          <w:rFonts w:hint="eastAsia"/>
          <w:lang w:val="en-US" w:eastAsia="zh-CN"/>
        </w:rPr>
        <w:t>保全管理</w:t>
      </w:r>
      <w:bookmarkEnd w:id="16"/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保全复核差错管理：针对保全复核过程中发现的问题进行管理。</w:t>
      </w:r>
    </w:p>
    <w:p>
      <w:pPr>
        <w:ind w:firstLine="425" w:firstLineChars="177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根据提示输入必录项，符合问题可以点击旁边的查询按钮，对产生的多个问题选择返回，其他如果只有一个复核问题，可以直接根据下拉的错误选择。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所需角色</w:t>
      </w:r>
    </w:p>
    <w:p>
      <w:pPr>
        <w:ind w:firstLine="425" w:firstLineChars="177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省、市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操作说明</w:t>
      </w:r>
    </w:p>
    <w:p>
      <w:pPr>
        <w:numPr>
          <w:numId w:val="0"/>
        </w:numPr>
        <w:ind w:leftChars="0" w:firstLine="50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省分新增复核问题，市县默认列表进行处理，省分默认看到市处理后的结果，可对问题直接进行关闭。</w:t>
      </w:r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3" o:spid="_x0000_s1039" type="#_x0000_t75" style="height:256.9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17" w:name="_Toc1132"/>
      <w:r>
        <w:rPr>
          <w:rFonts w:hint="eastAsia"/>
          <w:lang w:val="en-US" w:eastAsia="zh-CN"/>
        </w:rPr>
        <w:t>电话回访管理</w:t>
      </w:r>
      <w:bookmarkEnd w:id="17"/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回访不成功件管理：对总部回访不成功的工单进行管理，总部回访不成功的清单根据省</w:t>
      </w:r>
      <w:r>
        <w:rPr>
          <w:rFonts w:hint="eastAsia"/>
          <w:sz w:val="28"/>
          <w:szCs w:val="28"/>
          <w:lang w:eastAsia="zh-CN"/>
        </w:rPr>
        <w:t>二访中心（目前为</w:t>
      </w:r>
      <w:r>
        <w:rPr>
          <w:rFonts w:hint="eastAsia"/>
          <w:sz w:val="28"/>
          <w:szCs w:val="28"/>
        </w:rPr>
        <w:t>11185</w:t>
      </w:r>
      <w:r>
        <w:rPr>
          <w:rFonts w:hint="eastAsia"/>
          <w:sz w:val="28"/>
          <w:szCs w:val="28"/>
          <w:lang w:eastAsia="zh-CN"/>
        </w:rPr>
        <w:t>）</w:t>
      </w:r>
      <w:r>
        <w:rPr>
          <w:rFonts w:hint="eastAsia"/>
          <w:sz w:val="28"/>
          <w:szCs w:val="28"/>
        </w:rPr>
        <w:t>或者省分的回访数据进行更新</w:t>
      </w:r>
      <w:r>
        <w:rPr>
          <w:rFonts w:hint="eastAsia"/>
          <w:sz w:val="28"/>
          <w:szCs w:val="28"/>
          <w:lang w:eastAsia="zh-CN"/>
        </w:rPr>
        <w:t>或者登记</w:t>
      </w:r>
      <w:r>
        <w:rPr>
          <w:rFonts w:hint="eastAsia"/>
          <w:sz w:val="28"/>
          <w:szCs w:val="28"/>
        </w:rPr>
        <w:t>。</w:t>
      </w:r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其他规则：总部回访不成功件，离犹豫期超过</w:t>
      </w:r>
      <w:r>
        <w:rPr>
          <w:rFonts w:hint="eastAsia"/>
          <w:sz w:val="28"/>
          <w:szCs w:val="28"/>
          <w:lang w:val="en-US" w:eastAsia="zh-CN"/>
        </w:rPr>
        <w:t>3天的</w:t>
      </w:r>
      <w:r>
        <w:rPr>
          <w:rFonts w:hint="eastAsia"/>
          <w:sz w:val="28"/>
          <w:szCs w:val="28"/>
          <w:lang w:eastAsia="zh-CN"/>
        </w:rPr>
        <w:t>默认为二访中心进行回访，此时市县默认处理列表不能体现；离犹豫期</w:t>
      </w:r>
      <w:r>
        <w:rPr>
          <w:rFonts w:hint="eastAsia"/>
          <w:sz w:val="28"/>
          <w:szCs w:val="28"/>
          <w:lang w:val="en-US" w:eastAsia="zh-CN"/>
        </w:rPr>
        <w:t>3天内二访未回访成功的都进入市县默认处理列表</w:t>
      </w:r>
      <w:r>
        <w:rPr>
          <w:rFonts w:hint="eastAsia"/>
          <w:sz w:val="28"/>
          <w:szCs w:val="28"/>
        </w:rPr>
        <w:t>。</w:t>
      </w:r>
    </w:p>
    <w:p>
      <w:pPr>
        <w:ind w:firstLine="425" w:firstLineChars="177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二访中心可以进行</w:t>
      </w:r>
      <w:r>
        <w:rPr>
          <w:rFonts w:hint="eastAsia"/>
          <w:sz w:val="28"/>
          <w:szCs w:val="28"/>
          <w:lang w:val="en-US" w:eastAsia="zh-CN"/>
        </w:rPr>
        <w:t>6次回访登记，根据设定的回访结果类型进行登记。</w:t>
      </w:r>
    </w:p>
    <w:p>
      <w:pPr>
        <w:ind w:firstLine="425" w:firstLineChars="177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总部回访不成功件下发后，可随时进行“信函已发”信息登记。</w:t>
      </w:r>
    </w:p>
    <w:p>
      <w:pPr>
        <w:ind w:firstLine="425" w:firstLineChars="177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4" o:spid="_x0000_s1040" type="#_x0000_t75" style="height:257.85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5" w:firstLineChars="177"/>
        <w:rPr>
          <w:rFonts w:hint="eastAsia"/>
          <w:lang w:eastAsia="zh-CN"/>
        </w:rPr>
      </w:pP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18" w:name="_Toc3166"/>
      <w:r>
        <w:rPr>
          <w:rFonts w:hint="eastAsia"/>
          <w:lang w:val="en-US" w:eastAsia="zh-CN"/>
        </w:rPr>
        <w:t>客服管理</w:t>
      </w:r>
      <w:bookmarkEnd w:id="18"/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对回访中产生的问题工单进行跟踪管理。</w:t>
      </w:r>
    </w:p>
    <w:p>
      <w:pPr>
        <w:ind w:firstLine="425" w:firstLineChars="177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对于处理有问题的可以重新打开继续跟进处理。</w:t>
      </w:r>
    </w:p>
    <w:p>
      <w:pPr>
        <w:ind w:firstLine="425" w:firstLineChars="177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为便于打印存档，提供单个工单的打印功能以及批量工单打印功能。</w:t>
      </w:r>
    </w:p>
    <w:p>
      <w:pPr>
        <w:ind w:firstLine="425" w:firstLineChars="177"/>
        <w:rPr>
          <w:rFonts w:hint="eastAsia"/>
          <w:sz w:val="28"/>
          <w:szCs w:val="28"/>
          <w:lang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5" o:spid="_x0000_s1041" type="#_x0000_t75" style="height:256.15pt;width:415.1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19" w:name="_Toc19495"/>
      <w:r>
        <w:rPr>
          <w:rFonts w:hint="eastAsia"/>
          <w:lang w:val="en-US" w:eastAsia="zh-CN"/>
        </w:rPr>
        <w:t>续期管理</w:t>
      </w:r>
      <w:bookmarkEnd w:id="19"/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根据每月导出的续期催收进行跟踪管理，可以导入继续率清单和总部催收数据进行更新。</w:t>
      </w:r>
    </w:p>
    <w:p>
      <w:pPr>
        <w:ind w:firstLine="425" w:firstLineChars="177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续期操作类似于回访管理。</w:t>
      </w:r>
    </w:p>
    <w:p>
      <w:pPr>
        <w:ind w:firstLine="425" w:firstLineChars="177"/>
        <w:rPr>
          <w:rFonts w:hint="eastAsia"/>
          <w:sz w:val="28"/>
          <w:szCs w:val="28"/>
          <w:lang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6" o:spid="_x0000_s1042" type="#_x0000_t75" style="height:261.9pt;width:41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20" w:name="_Toc29597"/>
      <w:r>
        <w:rPr>
          <w:rFonts w:hint="eastAsia"/>
          <w:lang w:val="en-US" w:eastAsia="zh-CN"/>
        </w:rPr>
        <w:t>发票管理</w:t>
      </w:r>
      <w:bookmarkEnd w:id="20"/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发票申请：客户申请发票信息登记，可以指定发票寄送地址</w:t>
      </w:r>
      <w:r>
        <w:rPr>
          <w:rFonts w:hint="eastAsia"/>
          <w:sz w:val="28"/>
          <w:szCs w:val="28"/>
          <w:lang w:eastAsia="zh-CN"/>
        </w:rPr>
        <w:t>，默认为寄去市中邮保险局，地址信息留空</w:t>
      </w:r>
      <w:r>
        <w:rPr>
          <w:rFonts w:hint="eastAsia"/>
          <w:sz w:val="28"/>
          <w:szCs w:val="28"/>
        </w:rPr>
        <w:t>，闭环跟踪。</w:t>
      </w:r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7" o:spid="_x0000_s1043" type="#_x0000_t75" style="height:255.55pt;width:414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21" w:name="_Toc16313"/>
      <w:r>
        <w:rPr>
          <w:rFonts w:hint="eastAsia"/>
          <w:lang w:val="en-US" w:eastAsia="zh-CN"/>
        </w:rPr>
        <w:t>基本类型维护</w:t>
      </w:r>
      <w:bookmarkEnd w:id="21"/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包括保全复核常见差错定义；</w:t>
      </w:r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在售产品的维护。</w:t>
      </w:r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回访类型：</w:t>
      </w:r>
      <w:r>
        <w:rPr>
          <w:rFonts w:hint="eastAsia"/>
          <w:sz w:val="28"/>
          <w:szCs w:val="28"/>
          <w:lang w:eastAsia="zh-CN"/>
        </w:rPr>
        <w:t>回访结果类型定义</w:t>
      </w:r>
      <w:r>
        <w:rPr>
          <w:rFonts w:hint="eastAsia"/>
          <w:sz w:val="28"/>
          <w:szCs w:val="28"/>
        </w:rPr>
        <w:t>。</w:t>
      </w:r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工单类型：</w:t>
      </w:r>
      <w:r>
        <w:rPr>
          <w:rFonts w:hint="eastAsia"/>
          <w:sz w:val="28"/>
          <w:szCs w:val="28"/>
          <w:lang w:eastAsia="zh-CN"/>
        </w:rPr>
        <w:t>工单类型定义</w:t>
      </w:r>
      <w:r>
        <w:rPr>
          <w:rFonts w:hint="eastAsia"/>
          <w:sz w:val="28"/>
          <w:szCs w:val="28"/>
        </w:rPr>
        <w:t>。</w:t>
      </w:r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网点对照：网点在核心系统和银行邮保通系统的代码对照及网点基本信息管理。</w:t>
      </w:r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续期催收类型：</w:t>
      </w:r>
      <w:r>
        <w:rPr>
          <w:rFonts w:hint="eastAsia"/>
          <w:sz w:val="28"/>
          <w:szCs w:val="28"/>
          <w:lang w:eastAsia="zh-CN"/>
        </w:rPr>
        <w:t>催收工单类型定义</w:t>
      </w:r>
      <w:r>
        <w:rPr>
          <w:rFonts w:hint="eastAsia"/>
          <w:sz w:val="28"/>
          <w:szCs w:val="28"/>
        </w:rPr>
        <w:t>。</w:t>
      </w:r>
    </w:p>
    <w:p>
      <w:pPr>
        <w:pStyle w:val="3"/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bookmarkStart w:id="22" w:name="_Toc28445"/>
      <w:r>
        <w:rPr>
          <w:rFonts w:hint="eastAsia"/>
          <w:lang w:val="en-US" w:eastAsia="zh-CN"/>
        </w:rPr>
        <w:t>安全管理</w:t>
      </w:r>
      <w:bookmarkEnd w:id="22"/>
    </w:p>
    <w:p>
      <w:pPr>
        <w:ind w:firstLine="425" w:firstLineChars="177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包括用户管理、角色管理、模块管理、组织（机构）管理，日志管理等基本的配置功能。</w:t>
      </w:r>
    </w:p>
    <w:p>
      <w:pPr>
        <w:ind w:firstLine="425" w:firstLineChars="177"/>
        <w:rPr>
          <w:rFonts w:hint="eastAsia"/>
          <w:sz w:val="28"/>
          <w:szCs w:val="28"/>
        </w:rPr>
      </w:pPr>
    </w:p>
    <w:p>
      <w:pPr>
        <w:spacing w:line="360" w:lineRule="auto"/>
        <w:ind w:firstLine="420"/>
        <w:rPr>
          <w:sz w:val="24"/>
        </w:rPr>
      </w:pPr>
    </w:p>
    <w:p>
      <w:pPr>
        <w:spacing w:line="360" w:lineRule="auto"/>
        <w:ind w:firstLine="482" w:firstLineChars="200"/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（全文结束）</w:t>
      </w:r>
    </w:p>
    <w:p/>
    <w:p/>
    <w:sectPr>
      <w:headerReference r:id="rId4" w:type="default"/>
      <w:footerReference r:id="rId5" w:type="default"/>
      <w:pgSz w:w="11906" w:h="16838"/>
      <w:pgMar w:top="1440" w:right="1800" w:bottom="1402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7"/>
      <w:jc w:val="center"/>
    </w:pPr>
    <w:r>
      <w:rPr>
        <w:rStyle w:val="12"/>
        <w:rFonts w:cs="Arial"/>
        <w:sz w:val="21"/>
      </w:rPr>
      <w:fldChar w:fldCharType="begin"/>
    </w:r>
    <w:r>
      <w:rPr>
        <w:rStyle w:val="12"/>
        <w:rFonts w:cs="Arial"/>
        <w:sz w:val="21"/>
      </w:rPr>
      <w:instrText xml:space="preserve"> PAGE </w:instrText>
    </w:r>
    <w:r>
      <w:rPr>
        <w:rStyle w:val="12"/>
        <w:rFonts w:cs="Arial"/>
        <w:sz w:val="21"/>
      </w:rPr>
      <w:fldChar w:fldCharType="separate"/>
    </w:r>
    <w:r>
      <w:rPr>
        <w:rStyle w:val="12"/>
        <w:rFonts w:cs="Arial"/>
        <w:sz w:val="21"/>
      </w:rPr>
      <w:t>2</w:t>
    </w:r>
    <w:r>
      <w:rPr>
        <w:rStyle w:val="12"/>
        <w:rFonts w:cs="Arial"/>
        <w:sz w:val="21"/>
      </w:rPr>
      <w:fldChar w:fldCharType="end"/>
    </w:r>
    <w:r>
      <w:rPr>
        <w:rStyle w:val="12"/>
        <w:rFonts w:hint="eastAsia" w:cs="Arial"/>
        <w:sz w:val="21"/>
      </w:rPr>
      <w:t>/</w:t>
    </w:r>
    <w:r>
      <w:rPr>
        <w:rStyle w:val="12"/>
      </w:rPr>
      <w:fldChar w:fldCharType="begin"/>
    </w:r>
    <w:r>
      <w:rPr>
        <w:rStyle w:val="12"/>
      </w:rPr>
      <w:instrText xml:space="preserve"> NUMPAGES </w:instrText>
    </w:r>
    <w:r>
      <w:rPr>
        <w:rStyle w:val="12"/>
      </w:rPr>
      <w:fldChar w:fldCharType="separate"/>
    </w:r>
    <w:r>
      <w:rPr>
        <w:rStyle w:val="12"/>
      </w:rPr>
      <w:t>39</w:t>
    </w:r>
    <w:r>
      <w:rPr>
        <w:rStyle w:val="12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75412028">
    <w:nsid w:val="1C56363C"/>
    <w:multiLevelType w:val="multilevel"/>
    <w:tmpl w:val="1C56363C"/>
    <w:lvl w:ilvl="0" w:tentative="1">
      <w:start w:val="1"/>
      <w:numFmt w:val="bullet"/>
      <w:lvlText w:val=""/>
      <w:lvlJc w:val="left"/>
      <w:pPr>
        <w:ind w:left="480" w:hanging="48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254635150">
    <w:nsid w:val="0F2D6C8E"/>
    <w:multiLevelType w:val="multilevel"/>
    <w:tmpl w:val="0F2D6C8E"/>
    <w:lvl w:ilvl="0" w:tentative="1">
      <w:start w:val="1"/>
      <w:numFmt w:val="chineseCountingThousand"/>
      <w:lvlText w:val="%1、"/>
      <w:lvlJc w:val="left"/>
      <w:pPr>
        <w:ind w:left="480" w:hanging="480"/>
      </w:pPr>
      <w:rPr>
        <w:rFonts w:hint="eastAsia" w:ascii="宋体" w:hAnsi="宋体" w:eastAsia="宋体"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41762369">
    <w:nsid w:val="55EF8C41"/>
    <w:multiLevelType w:val="singleLevel"/>
    <w:tmpl w:val="55EF8C41"/>
    <w:lvl w:ilvl="0" w:tentative="1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41763446">
    <w:nsid w:val="55EF9076"/>
    <w:multiLevelType w:val="singleLevel"/>
    <w:tmpl w:val="55EF9076"/>
    <w:lvl w:ilvl="0" w:tentative="1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41763459">
    <w:nsid w:val="55EF9083"/>
    <w:multiLevelType w:val="singleLevel"/>
    <w:tmpl w:val="55EF9083"/>
    <w:lvl w:ilvl="0" w:tentative="1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41765644">
    <w:nsid w:val="55EF990C"/>
    <w:multiLevelType w:val="multilevel"/>
    <w:tmpl w:val="55EF990C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254635150"/>
  </w:num>
  <w:num w:numId="2">
    <w:abstractNumId w:val="1441765644"/>
  </w:num>
  <w:num w:numId="3">
    <w:abstractNumId w:val="475412028"/>
  </w:num>
  <w:num w:numId="4">
    <w:abstractNumId w:val="1441762369"/>
  </w:num>
  <w:num w:numId="5">
    <w:abstractNumId w:val="1441763459"/>
  </w:num>
  <w:num w:numId="6">
    <w:abstractNumId w:val="14417634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5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doNotWrapTextWithPunct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6D3A56"/>
    <w:rsid w:val="0000377E"/>
    <w:rsid w:val="00030497"/>
    <w:rsid w:val="00035268"/>
    <w:rsid w:val="0003679E"/>
    <w:rsid w:val="00043E8D"/>
    <w:rsid w:val="00066F3F"/>
    <w:rsid w:val="00071E46"/>
    <w:rsid w:val="00085AC4"/>
    <w:rsid w:val="00085B67"/>
    <w:rsid w:val="000A1E61"/>
    <w:rsid w:val="000A4218"/>
    <w:rsid w:val="000A6A3A"/>
    <w:rsid w:val="000B5952"/>
    <w:rsid w:val="000C0221"/>
    <w:rsid w:val="000C2B9B"/>
    <w:rsid w:val="000D3645"/>
    <w:rsid w:val="000E3C85"/>
    <w:rsid w:val="000F014E"/>
    <w:rsid w:val="001351F0"/>
    <w:rsid w:val="00153684"/>
    <w:rsid w:val="00173216"/>
    <w:rsid w:val="00177850"/>
    <w:rsid w:val="001870EA"/>
    <w:rsid w:val="00187635"/>
    <w:rsid w:val="001A1419"/>
    <w:rsid w:val="001A475B"/>
    <w:rsid w:val="001B67E2"/>
    <w:rsid w:val="001D7260"/>
    <w:rsid w:val="001E5629"/>
    <w:rsid w:val="001E79AD"/>
    <w:rsid w:val="002410B7"/>
    <w:rsid w:val="00241CBF"/>
    <w:rsid w:val="00255D37"/>
    <w:rsid w:val="0025638E"/>
    <w:rsid w:val="00275E37"/>
    <w:rsid w:val="0028080E"/>
    <w:rsid w:val="002A3A66"/>
    <w:rsid w:val="002C3A78"/>
    <w:rsid w:val="002E4AFB"/>
    <w:rsid w:val="002E7874"/>
    <w:rsid w:val="002F4A15"/>
    <w:rsid w:val="002F5F5F"/>
    <w:rsid w:val="003055E4"/>
    <w:rsid w:val="00310608"/>
    <w:rsid w:val="00314E8A"/>
    <w:rsid w:val="00317187"/>
    <w:rsid w:val="00325567"/>
    <w:rsid w:val="0032667C"/>
    <w:rsid w:val="00361E13"/>
    <w:rsid w:val="003651D2"/>
    <w:rsid w:val="00365CC6"/>
    <w:rsid w:val="00373820"/>
    <w:rsid w:val="003779CE"/>
    <w:rsid w:val="003809FF"/>
    <w:rsid w:val="00396B35"/>
    <w:rsid w:val="003A5371"/>
    <w:rsid w:val="003B77AC"/>
    <w:rsid w:val="003E4A96"/>
    <w:rsid w:val="003E56F7"/>
    <w:rsid w:val="003F6226"/>
    <w:rsid w:val="00403C93"/>
    <w:rsid w:val="00420DB3"/>
    <w:rsid w:val="0042298B"/>
    <w:rsid w:val="004232D6"/>
    <w:rsid w:val="004314FA"/>
    <w:rsid w:val="004330D9"/>
    <w:rsid w:val="0044078F"/>
    <w:rsid w:val="00445D90"/>
    <w:rsid w:val="00451CBE"/>
    <w:rsid w:val="00452BBE"/>
    <w:rsid w:val="00462858"/>
    <w:rsid w:val="00466D78"/>
    <w:rsid w:val="0047397E"/>
    <w:rsid w:val="0047506A"/>
    <w:rsid w:val="004966F5"/>
    <w:rsid w:val="004A35E1"/>
    <w:rsid w:val="004A397C"/>
    <w:rsid w:val="004B6684"/>
    <w:rsid w:val="004D05FF"/>
    <w:rsid w:val="004D0CD0"/>
    <w:rsid w:val="004E7C31"/>
    <w:rsid w:val="00510EF5"/>
    <w:rsid w:val="00511090"/>
    <w:rsid w:val="005135B4"/>
    <w:rsid w:val="0051638A"/>
    <w:rsid w:val="00526176"/>
    <w:rsid w:val="00546B8E"/>
    <w:rsid w:val="00560CCA"/>
    <w:rsid w:val="00565A50"/>
    <w:rsid w:val="00566FA9"/>
    <w:rsid w:val="005800CB"/>
    <w:rsid w:val="005934B4"/>
    <w:rsid w:val="005B04ED"/>
    <w:rsid w:val="005B7066"/>
    <w:rsid w:val="005C0560"/>
    <w:rsid w:val="005E123A"/>
    <w:rsid w:val="005E1FE2"/>
    <w:rsid w:val="005F0886"/>
    <w:rsid w:val="005F123E"/>
    <w:rsid w:val="005F4CDC"/>
    <w:rsid w:val="006169C1"/>
    <w:rsid w:val="00642C3F"/>
    <w:rsid w:val="006510FA"/>
    <w:rsid w:val="00663BF3"/>
    <w:rsid w:val="00665A19"/>
    <w:rsid w:val="00666446"/>
    <w:rsid w:val="00673E78"/>
    <w:rsid w:val="006854E2"/>
    <w:rsid w:val="00692755"/>
    <w:rsid w:val="0069546C"/>
    <w:rsid w:val="006A0496"/>
    <w:rsid w:val="006A4865"/>
    <w:rsid w:val="006C65C3"/>
    <w:rsid w:val="006D3A56"/>
    <w:rsid w:val="006F17C5"/>
    <w:rsid w:val="006F6F99"/>
    <w:rsid w:val="00722DC0"/>
    <w:rsid w:val="00727ED0"/>
    <w:rsid w:val="00727F8F"/>
    <w:rsid w:val="0073270B"/>
    <w:rsid w:val="00742491"/>
    <w:rsid w:val="0074416C"/>
    <w:rsid w:val="00746B97"/>
    <w:rsid w:val="0075188E"/>
    <w:rsid w:val="00755261"/>
    <w:rsid w:val="00773730"/>
    <w:rsid w:val="00773CB1"/>
    <w:rsid w:val="007A49D1"/>
    <w:rsid w:val="007C0021"/>
    <w:rsid w:val="007D3874"/>
    <w:rsid w:val="007D3FA3"/>
    <w:rsid w:val="007F5EE0"/>
    <w:rsid w:val="007F68E6"/>
    <w:rsid w:val="008207E5"/>
    <w:rsid w:val="00822209"/>
    <w:rsid w:val="0082228E"/>
    <w:rsid w:val="00833AFB"/>
    <w:rsid w:val="00840F9F"/>
    <w:rsid w:val="00841659"/>
    <w:rsid w:val="00854D9B"/>
    <w:rsid w:val="00862775"/>
    <w:rsid w:val="00871787"/>
    <w:rsid w:val="008773F4"/>
    <w:rsid w:val="008827B8"/>
    <w:rsid w:val="008900E9"/>
    <w:rsid w:val="008A084D"/>
    <w:rsid w:val="008B081F"/>
    <w:rsid w:val="008C043B"/>
    <w:rsid w:val="008C0527"/>
    <w:rsid w:val="008C2F5D"/>
    <w:rsid w:val="008C7235"/>
    <w:rsid w:val="008D166B"/>
    <w:rsid w:val="008E1E12"/>
    <w:rsid w:val="008E5698"/>
    <w:rsid w:val="008F739F"/>
    <w:rsid w:val="0090580F"/>
    <w:rsid w:val="00905D5C"/>
    <w:rsid w:val="00906580"/>
    <w:rsid w:val="00906D1D"/>
    <w:rsid w:val="00911B95"/>
    <w:rsid w:val="00917821"/>
    <w:rsid w:val="00917F70"/>
    <w:rsid w:val="00923C16"/>
    <w:rsid w:val="00923C32"/>
    <w:rsid w:val="00923F8C"/>
    <w:rsid w:val="00931C49"/>
    <w:rsid w:val="00944021"/>
    <w:rsid w:val="009574B6"/>
    <w:rsid w:val="00970E5A"/>
    <w:rsid w:val="00973CDA"/>
    <w:rsid w:val="0097675E"/>
    <w:rsid w:val="00987352"/>
    <w:rsid w:val="00991777"/>
    <w:rsid w:val="00992E9F"/>
    <w:rsid w:val="009A435A"/>
    <w:rsid w:val="009C79A4"/>
    <w:rsid w:val="009D0A5B"/>
    <w:rsid w:val="009D304F"/>
    <w:rsid w:val="009E5DAA"/>
    <w:rsid w:val="00A15EA4"/>
    <w:rsid w:val="00A24319"/>
    <w:rsid w:val="00A36552"/>
    <w:rsid w:val="00A50380"/>
    <w:rsid w:val="00A543B1"/>
    <w:rsid w:val="00A6589D"/>
    <w:rsid w:val="00A65999"/>
    <w:rsid w:val="00A70432"/>
    <w:rsid w:val="00A7120C"/>
    <w:rsid w:val="00A865B1"/>
    <w:rsid w:val="00A868D8"/>
    <w:rsid w:val="00A87F06"/>
    <w:rsid w:val="00AD1A9B"/>
    <w:rsid w:val="00AD3EE0"/>
    <w:rsid w:val="00AD40A6"/>
    <w:rsid w:val="00AF1A54"/>
    <w:rsid w:val="00AF2C9C"/>
    <w:rsid w:val="00AF4E0B"/>
    <w:rsid w:val="00AF5847"/>
    <w:rsid w:val="00B152A4"/>
    <w:rsid w:val="00B379F7"/>
    <w:rsid w:val="00B50F36"/>
    <w:rsid w:val="00B76306"/>
    <w:rsid w:val="00B76A4E"/>
    <w:rsid w:val="00B86A59"/>
    <w:rsid w:val="00B932D4"/>
    <w:rsid w:val="00B959F8"/>
    <w:rsid w:val="00BB5D1F"/>
    <w:rsid w:val="00BB7C7F"/>
    <w:rsid w:val="00BD3905"/>
    <w:rsid w:val="00BD4841"/>
    <w:rsid w:val="00BE1051"/>
    <w:rsid w:val="00BE2FC1"/>
    <w:rsid w:val="00BE428C"/>
    <w:rsid w:val="00BE793E"/>
    <w:rsid w:val="00BF14C4"/>
    <w:rsid w:val="00BF7685"/>
    <w:rsid w:val="00C04ACD"/>
    <w:rsid w:val="00C073E8"/>
    <w:rsid w:val="00C12344"/>
    <w:rsid w:val="00C16AC7"/>
    <w:rsid w:val="00C24772"/>
    <w:rsid w:val="00C30F97"/>
    <w:rsid w:val="00C32042"/>
    <w:rsid w:val="00C47B15"/>
    <w:rsid w:val="00C5443A"/>
    <w:rsid w:val="00C5514F"/>
    <w:rsid w:val="00C6649A"/>
    <w:rsid w:val="00C822CE"/>
    <w:rsid w:val="00C856B1"/>
    <w:rsid w:val="00C9242F"/>
    <w:rsid w:val="00CA266F"/>
    <w:rsid w:val="00CA320E"/>
    <w:rsid w:val="00CD4ACA"/>
    <w:rsid w:val="00CD542D"/>
    <w:rsid w:val="00CE28D8"/>
    <w:rsid w:val="00CE6189"/>
    <w:rsid w:val="00CF1383"/>
    <w:rsid w:val="00CF3E17"/>
    <w:rsid w:val="00D07CE3"/>
    <w:rsid w:val="00D13059"/>
    <w:rsid w:val="00D2418B"/>
    <w:rsid w:val="00D329D9"/>
    <w:rsid w:val="00D35C11"/>
    <w:rsid w:val="00D53A34"/>
    <w:rsid w:val="00D53FF4"/>
    <w:rsid w:val="00D620B8"/>
    <w:rsid w:val="00D66097"/>
    <w:rsid w:val="00D66E97"/>
    <w:rsid w:val="00D6775A"/>
    <w:rsid w:val="00D704FB"/>
    <w:rsid w:val="00D77FB4"/>
    <w:rsid w:val="00D80204"/>
    <w:rsid w:val="00D837D9"/>
    <w:rsid w:val="00D86126"/>
    <w:rsid w:val="00D914A4"/>
    <w:rsid w:val="00DA0E00"/>
    <w:rsid w:val="00DB6B4E"/>
    <w:rsid w:val="00DC3B13"/>
    <w:rsid w:val="00DD2E6B"/>
    <w:rsid w:val="00DD4FFB"/>
    <w:rsid w:val="00DF08E9"/>
    <w:rsid w:val="00E145AE"/>
    <w:rsid w:val="00E1503E"/>
    <w:rsid w:val="00E3448D"/>
    <w:rsid w:val="00E64964"/>
    <w:rsid w:val="00E65F4A"/>
    <w:rsid w:val="00E71245"/>
    <w:rsid w:val="00E713A5"/>
    <w:rsid w:val="00E7485D"/>
    <w:rsid w:val="00E96FB6"/>
    <w:rsid w:val="00EA5636"/>
    <w:rsid w:val="00EB482E"/>
    <w:rsid w:val="00EC3266"/>
    <w:rsid w:val="00F14888"/>
    <w:rsid w:val="00F23536"/>
    <w:rsid w:val="00F35ED8"/>
    <w:rsid w:val="00F4456D"/>
    <w:rsid w:val="00F60F82"/>
    <w:rsid w:val="00F822DA"/>
    <w:rsid w:val="00F937A3"/>
    <w:rsid w:val="00F9633C"/>
    <w:rsid w:val="00F97FD0"/>
    <w:rsid w:val="00FA3EEC"/>
    <w:rsid w:val="00FA64C7"/>
    <w:rsid w:val="00FB21DD"/>
    <w:rsid w:val="00FF7A2E"/>
    <w:rsid w:val="026B1786"/>
    <w:rsid w:val="08323800"/>
    <w:rsid w:val="0B9F6D1F"/>
    <w:rsid w:val="0C163C97"/>
    <w:rsid w:val="0E241F41"/>
    <w:rsid w:val="1060186C"/>
    <w:rsid w:val="107C119C"/>
    <w:rsid w:val="110F2909"/>
    <w:rsid w:val="1A23796E"/>
    <w:rsid w:val="1B6F1B8E"/>
    <w:rsid w:val="1BFE5F7A"/>
    <w:rsid w:val="1DCB19EE"/>
    <w:rsid w:val="21E2178D"/>
    <w:rsid w:val="273803E6"/>
    <w:rsid w:val="2C6B57F0"/>
    <w:rsid w:val="2F0E7FC2"/>
    <w:rsid w:val="32666DBF"/>
    <w:rsid w:val="337201F6"/>
    <w:rsid w:val="36B54AD0"/>
    <w:rsid w:val="36EC2A2B"/>
    <w:rsid w:val="3AC72CFB"/>
    <w:rsid w:val="3BC91625"/>
    <w:rsid w:val="3C803352"/>
    <w:rsid w:val="3E800899"/>
    <w:rsid w:val="41EF4D3D"/>
    <w:rsid w:val="465161EB"/>
    <w:rsid w:val="4F7B0C77"/>
    <w:rsid w:val="51241F2C"/>
    <w:rsid w:val="513E2AD6"/>
    <w:rsid w:val="515C68DE"/>
    <w:rsid w:val="51922560"/>
    <w:rsid w:val="52EF249C"/>
    <w:rsid w:val="563325F9"/>
    <w:rsid w:val="59B13835"/>
    <w:rsid w:val="59C21551"/>
    <w:rsid w:val="5B615779"/>
    <w:rsid w:val="5B952750"/>
    <w:rsid w:val="5BA31A66"/>
    <w:rsid w:val="60DD2BF7"/>
    <w:rsid w:val="6332564A"/>
    <w:rsid w:val="68BD30E3"/>
    <w:rsid w:val="6B48020E"/>
    <w:rsid w:val="6CA55F4C"/>
    <w:rsid w:val="6CC07DFA"/>
    <w:rsid w:val="75E37678"/>
    <w:rsid w:val="7728668A"/>
    <w:rsid w:val="792451CB"/>
    <w:rsid w:val="79DD5C7F"/>
    <w:rsid w:val="7C050B07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semiHidden="0" w:name="Normal Indent"/>
    <w:lsdException w:uiPriority="0" w:name="footnote text"/>
    <w:lsdException w:uiPriority="0" w:name="annotation text"/>
    <w:lsdException w:uiPriority="0" w:semiHidden="0" w:name="header"/>
    <w:lsdException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99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Style w:val="1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Normal Indent"/>
    <w:basedOn w:val="1"/>
    <w:unhideWhenUsed/>
    <w:uiPriority w:val="99"/>
    <w:pPr>
      <w:spacing w:line="360" w:lineRule="auto"/>
      <w:ind w:firstLine="200" w:firstLineChars="200"/>
      <w:jc w:val="left"/>
    </w:pPr>
    <w:rPr>
      <w:rFonts w:ascii="Arial" w:hAnsi="Arial"/>
      <w:sz w:val="24"/>
      <w:szCs w:val="24"/>
    </w:r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footer"/>
    <w:basedOn w:val="1"/>
    <w:link w:val="18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rFonts w:ascii="Arial" w:hAnsi="Arial"/>
      <w:sz w:val="18"/>
      <w:szCs w:val="18"/>
    </w:rPr>
  </w:style>
  <w:style w:type="paragraph" w:styleId="8">
    <w:name w:val="header"/>
    <w:basedOn w:val="1"/>
    <w:link w:val="19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9">
    <w:name w:val="toc 1"/>
    <w:basedOn w:val="1"/>
    <w:next w:val="1"/>
    <w:unhideWhenUsed/>
    <w:uiPriority w:val="39"/>
    <w:pPr>
      <w:spacing w:before="120" w:after="120"/>
      <w:jc w:val="left"/>
    </w:pPr>
    <w:rPr>
      <w:rFonts w:ascii="Times New Roman" w:hAnsi="Times New Roman"/>
      <w:b/>
      <w:bCs/>
      <w:caps/>
      <w:szCs w:val="24"/>
    </w:rPr>
  </w:style>
  <w:style w:type="paragraph" w:styleId="10">
    <w:name w:val="toc 2"/>
    <w:basedOn w:val="1"/>
    <w:next w:val="1"/>
    <w:unhideWhenUsed/>
    <w:uiPriority w:val="39"/>
    <w:pPr>
      <w:ind w:left="210"/>
      <w:jc w:val="left"/>
    </w:pPr>
    <w:rPr>
      <w:rFonts w:ascii="Times New Roman" w:hAnsi="Times New Roman"/>
      <w:smallCaps/>
      <w:szCs w:val="24"/>
    </w:rPr>
  </w:style>
  <w:style w:type="character" w:styleId="12">
    <w:name w:val="page number"/>
    <w:unhideWhenUsed/>
    <w:uiPriority w:val="99"/>
  </w:style>
  <w:style w:type="character" w:styleId="13">
    <w:name w:val="Hyperlink"/>
    <w:unhideWhenUsed/>
    <w:uiPriority w:val="99"/>
    <w:rPr>
      <w:rFonts w:cs="Times New Roman"/>
      <w:color w:val="0000FF"/>
      <w:u w:val="single"/>
    </w:rPr>
  </w:style>
  <w:style w:type="paragraph" w:customStyle="1" w:styleId="15">
    <w:name w:val="列出段落1"/>
    <w:basedOn w:val="1"/>
    <w:uiPriority w:val="99"/>
    <w:pPr>
      <w:ind w:firstLine="420" w:firstLineChars="200"/>
    </w:pPr>
  </w:style>
  <w:style w:type="character" w:customStyle="1" w:styleId="16">
    <w:name w:val="标题 1 Char"/>
    <w:link w:val="2"/>
    <w:uiPriority w:val="9"/>
    <w:rPr>
      <w:b/>
      <w:bCs/>
      <w:kern w:val="44"/>
      <w:sz w:val="32"/>
      <w:szCs w:val="44"/>
    </w:rPr>
  </w:style>
  <w:style w:type="character" w:customStyle="1" w:styleId="17">
    <w:name w:val="标题 2 Char"/>
    <w:link w:val="3"/>
    <w:uiPriority w:val="9"/>
    <w:rPr>
      <w:rFonts w:ascii="Arial" w:hAnsi="Arial" w:eastAsia="黑体"/>
      <w:b/>
      <w:bCs/>
      <w:kern w:val="2"/>
      <w:sz w:val="32"/>
      <w:szCs w:val="32"/>
    </w:rPr>
  </w:style>
  <w:style w:type="character" w:customStyle="1" w:styleId="18">
    <w:name w:val="页脚 Char"/>
    <w:link w:val="7"/>
    <w:uiPriority w:val="0"/>
    <w:rPr>
      <w:rFonts w:ascii="Arial" w:hAnsi="Arial"/>
      <w:kern w:val="2"/>
      <w:sz w:val="18"/>
      <w:szCs w:val="18"/>
    </w:rPr>
  </w:style>
  <w:style w:type="character" w:customStyle="1" w:styleId="19">
    <w:name w:val="页眉 Char"/>
    <w:link w:val="8"/>
    <w:uiPriority w:val="0"/>
    <w:rPr>
      <w:rFonts w:ascii="Arial" w:hAnsi="Arial"/>
      <w:kern w:val="2"/>
      <w:sz w:val="18"/>
      <w:szCs w:val="18"/>
    </w:rPr>
  </w:style>
  <w:style w:type="character" w:customStyle="1" w:styleId="20">
    <w:name w:val="标题 3 Char"/>
    <w:link w:val="4"/>
    <w:uiPriority w:val="9"/>
    <w:rPr>
      <w:rFonts w:ascii="Calibri" w:hAnsi="Calibr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tyles" Target="style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888</Words>
  <Characters>5066</Characters>
  <Lines>42</Lines>
  <Paragraphs>11</Paragraphs>
  <ScaleCrop>false</ScaleCrop>
  <LinksUpToDate>false</LinksUpToDate>
  <CharactersWithSpaces>0</CharactersWithSpaces>
  <Application>WPS Office_9.1.0.5184_F1E327BC-269C-435d-A152-05C5408002CA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2015-03-19T01:09:00Z</dcterms:created>
  <cp:lastModifiedBy>毕泽明</cp:lastModifiedBy>
  <dcterms:modified xsi:type="dcterms:W3CDTF">2015-09-09T02:24:52Z</dcterms:modified>
  <dc:title>广东药学院选课系统操作手册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2052-9.1.0.5184</vt:lpwstr>
  </property>
</Properties>
</file>