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Mission Chain Standardization Decisions (v1.0)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 Team Profile, White Paper, Appendices, Executive Portrait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Draft for final owner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standardization package resolves structural inconsistencies across the current Mission Chain documents and produces a single coherent source of truth for public communications, investor review, and internal execution.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Canonical Terminology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name: **Mission Chain**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Token symbol: **MIC**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Mining access license: **MICE (Mission Algorithm Mining License)**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Reputation credentials: **Community Credentials (Silver/Gold/Platinum)**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Long-term stewardship NFT: **MFP-NFT**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Governance body: **Mission Chain DAO**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Canonical Economic Constants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Maximum MIC supply: `S_max = 7,000,000,000`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Pre-issued allocation: `S_pre = 1,050,000,000 (15%)`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Mining allocation: `S_mining = 5,950,000,000 (85%)`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Emission horizon: `T = 2,920 days` (approximately 8 years)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Canonical Emission Model (Cap-Safe, On-Chain Computable)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remove contradictions between adaptive factors and fixed supply cap, the emission model is defined as follows: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decay baseline: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`B(t) = B0 * 0.95^(t/90)`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Recommended `B0 = 2.5` for moderate early-phase acceleration.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Liquidity factor: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`L(t) = clamp((TWAP7d(L_t) / L_ref)^alpha, 0.85, 1.15)`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Current-day weight: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`w_now(t)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Remaining-weight estimator (future neutrality assumption):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`W_hat(t) = w_now(t) + sum_{k=t+1}^{T-1} B(k)` (future `L(k)` assumed `= 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emission: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`E(t) = min(S_remaining(t), floor(S_remaining(t) * w_now(t)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Terminal settlement: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`E(T-1) = S_remaining(T-1)`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guarantees: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mined MIC never exceeds `S_mining`.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remains adaptive to liquidity each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 is implementable without requiring future liquidity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Residual rounding drift is settled deterministically on the final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Mining Distribution (Unchanged)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MICE miners: 65%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Treasury: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 pool: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Credential pool: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Team Roster Reconciliation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Canonical leadership list includes all names currently spread across Team and White Paper documents: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David Truong Chinh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James Lee Harstad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John Clement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Hector Ardon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Nirmal Mukherjee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James Smith (Ona-Chi)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Aniekan Inemesit Essien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Melanie Pham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Clement Otu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Michael 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 White Paper and Team profiles must display the same canonical roster and role names.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Incentive Policy Normalization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Protocol vs Sales Incentives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and group bonuses are **sales-phase customer acquisition costs only**.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They are not protocol yield, not passive income, and not governance rights.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Pre-Sale / MICE Sales Incentives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cap: up to 15% of gross sales proceeds.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performance bonus cap: up to 8% of gross sales proceeds.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Incentive logic remains differential override (direct groups only).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Community Credential Consistency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avoid conflict with SBT principles: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 incentives must not issue governance/reputation credentials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Any non-cash promotional reward is treated as **education credits / onboarding vouchers**, not Community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Fundraising and Projection Consistency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Pre-Sale hard cap from allocation math: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`315,000,000 MIC * $0.005 = $1,575,000`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Financial model may still use a conservative operational target (e.g., $1,500,000), but both figures must be clearly separated: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Hard cap (token math)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Planning target (internal execution)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MICE Revenue Allocation Reconciliation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harmonize Appendix C and 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USDT Portion Allocation (cash operations)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incentives: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bonus (cap): up to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Marketing/community growth: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Liquidity provision: 35%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pools (Community + MFP):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treasury/operations: 12%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MIC Portion Allocation (non-cash)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Burn, liquidity routing, and treasury allocation are DAO-governed under fixed policy bounds.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MIC-side allocation is excluded from immediate cash runway calculations.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Document Structure Normalization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White Paper ToC must include Appendices **A through G**.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 numbering must be continuous and stable.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formula referenced in main text must appear fully in appendices.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block must not include placeholders like "still updating" in public versions.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Data Governance for Public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team profile version should use role, city/country, and official contact channel.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Private addresses and personal phone numbers should be moved to internal HR/compliance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Portrait Standardization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visual style for all executive photos.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text printed inside portrait images.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Unified framing, background, lighting, and export dimensions.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