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MISSION CHAIN NETWORK - WHITE PAPER (STANDARDIZED)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Tagline: Inspired by Purpose. Secured by Blockchain.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Version: v1.0 (Standardized Draft)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Abstract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Introduction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Mission and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Market Opportunity - The Convergence of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Design Principles and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Mission Chain Ecosystem - A Synergistic Economy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Token Model and Economic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Governance and DAO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Risk and Mitigation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Founding and Initial Executive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Appendices (A-G)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Abstract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is a decentralized infrastructure designed to align creative contribution, economic participation, and governance responsibility. It integrates blockchain-based settlement, role-gated participation, and community-led governance to support long-term value creation.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protocol is built around four principles: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contribution over speculation,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transparent and bounded economic rules,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utility-driven demand for MIC,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progressive decentralization through DAO stewardship.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 is a utility and coordination token inside the ecosystem. It is not equity, not ownership in an issuer, and does not represent guaranteed return.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Introduction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Digital economies generate significant value through creators, educators, contributors, and communities, yet ownership and monetization often remain centralized. Mission Chain addresses this structural gap by creating a unified economic layer where participants can: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prove competence,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perform verifiable contribution,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receive rule-based economic rewards,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participate in governance under defined safeguards.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is designed as infrastructure rather than a single app, with applications that reinforce one another in education, work coordination, and social distribution.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Mission and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build a decentralized ecosystem where individuals and communities can create, coordinate, and exchange value through transparent protocol rules, measurable contribution, and accountable governance.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establish a durable multi-layer digital economy where: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creators retain ownership and agency,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contributions are rewarded through verifiable mechanisms,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governance is decentralized but constrained by economic guardrails,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 activity can connect to real-world value 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Market Opportunity - The Convergence of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targets the intersection of creator economy, online education, freelance/gig work, social growth systems, and Web3 infrastructure. These sectors are large but fragmented, with recurring failure points: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contribution/value mismatch,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opaque monetization,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limited governance access,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incentive systems detached from real output.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Chain's strategic position is the integration layer that aligns learning, contribution, coordination, and settlement in one coherent protocol economy.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Design Principles and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Contribution-Driven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Economic participation and governance influence are role-gated by validated contribution and sustained activity, not by capital alone.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Proof of Competence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Learn validates capabilities through structured assessments, task outcomes, and contribution history before participants can access higher-value opportunities.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Reputation as Non-Transferable Capital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Community Credentials (Silver/Gold/Platinum) are non-transferable role credentials tied to behavior, quality, and protocol-defined performance thresholds.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Predictable but Adaptive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combines fixed supply boundaries with bounded adaptive controls (time-weighting and liquidity sensitivity) that operate under immutable emission guardrails.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Revenue-Backed Incentive Philosophy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protocol favors utility and real usage flows over discretionary inflation. Incentives are linked to validated activity and bounded treasury policies.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5.6 Modular System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consists of: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protocol layer (supply, emission, governance constraints),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and credential layer (MICE, Community Credentials, MFP-NFT),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application layer (Learn, Work, Social),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economic routing layer (reward pools, liquidity, treasury flows).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Mission Chain Ecosystem - A Synergistic Economy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Mission Learn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Onboarding and qualification layer for skills and contribution readiness.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Mission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Task-based execution layer where qualified contributors perform validated work and receive rule-based rewards.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Mission Social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Campaign and distribution layer where measurable engagement and outcomes are converted into economic value.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Closed-Loop Value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Learn builds capability, Work converts capability into output, Social amplifies output and demand. Value flows back into liquidity, contributor incentives, and long-term sustainability.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Token Model and Economic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Core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MIC: utility and settlement token.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MICE: time-bound mining access license (360-day activation).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Credentials (Silver/Gold/Platinum): non-transferable reputation credentials.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MFP-NFT: long-term stewardship and governance role NFT.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Supply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Maximum MIC supply: 7,000,000,000.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Pre-issued allocation: 15% (1,050,000,000) under vesting.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Mining allocation: 85% (5,950,000,000) via cap-safe emission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Cap-Safe Emission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uses a cap-safe, on-chain-computable emission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`B(t) = 2.5 * 0.95^(t/90)`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`L(t) = clamp((TWAP7d(L_t)/L_ref)^alpha, 0.85, 1.15)`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`w_now(t) = B(t) * L(t)`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`W_hat(t) = w_now(t) + sum_{k=t+1}^{T-1} B(k)` (future liquidity assumed neutral, `L=1`)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`E(t) = min(S_remaining(t), floor(S_remaining(t) * w_now(t) / W_hat(t)))`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Terminal day settlement: `E(T-1) = S_remaining(T-1)`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keeps adaptive behavior while ensuring cumulative emission does not exceed the 85% mining budget.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Daily Mining Distribution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MICE miners: 65%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DAO Treasury: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 pool: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Credential pool: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Utility Enforcement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 demand is enforced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Learn (credential minting fees and participation sinks),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Work (task staking and execution bonding),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Social (campaign budgeting and distribution flows).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Governance and DAO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DAO is adaptive but bounded.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DAO Can Adjust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reward routing ratios within guardrails,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 operational parameters,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credential weight/cap parameters,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treasury and liquidity policy parameters.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DAO Cannot Modify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maximum token supply,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mining budget,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emission guardrails,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vesting framework invariants.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Economic Oracle (AI-Assisted)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Economic Oracle is advisory-only. It can detect economic stress and propose bounded scenarios. It cannot execute changes autonomously. All changes require DAO vote and on-chain execution.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I - Foundation and Capital Formation (Q1-Q2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contracts, vesting, mining logic, governance guardrails,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review and deployment hardening,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strategic SEED execution and initial Pre-Sale activation.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II - Ecosystem Activation (Q3-Q4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Learn full launch,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Work controlled pilot,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credential and reward pool activation.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III - Growth and Market Integration (Q1-Q2 2027)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Social launch,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 partner integrations,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analytics and transparency tooling.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IV - Maturity and Expansion (Year 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RWA/IP integration,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cross-chain interoperability,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DAO tooling and treasury resilience.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Risk and Mitigation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risk classes and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Economic/inflation risk: capped supply and guardrailed emissions.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Speculation risk: role-gated participation and vesting discipline.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Governance capture risk: multi-role governance and immutable constraints.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Liquidity risk: structured treasury/liquidity routing.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Smart contract risk: modular architecture, staged rollout, audits.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Regulatory risk: utility framing, no guaranteed returns, bounded incentives.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Execution risk: phased release and milestone-linked capital deployment.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Founding and Initial Executive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Canonical team roster is unified across all public documents: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David Truong Chinh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James Lee Harstad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John Clement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Hector Ardon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Nirmal Mukherjee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James Smith (Ona-Chi)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Aniekan Inemesit Essien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Melanie Pham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Clement Otu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Michael 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founding and executive group serves as transition stewards; governance authority decentralizes progressively to DAO-governed contributors.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is designed as contribution-first infrastructure for sustainable digital economies. By combining bounded economics, verifiable participation, and decentralized governance with enforceable constraints, the protocol aims to align growth with accountability and long-term value creation.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ecosystem's objective is not short-cycle speculation, but compounding utility through learning, contribution, and coordinated execution.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specifications are documented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Appendix A: Seed Round / Private Sale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Appendix B: Pre-Sale (Community and Platform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Appendix C: MICE Sale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Appendix D: Financial Projections and Capital Allocation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Appendix E: Economic Formal Specification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Appendix F: SBT and Reputation Mechanism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Appendix G: AI Governor and Economic Oracle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