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Mission Chain - Executive Portrait Standard (Public Brand Version)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a unified, professional, and trustworthy visual identity for all team members across white paper, website, press kits, and investor materials.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Required Visual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Orientation: vertical portrait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Aspect ratio: 4:5 (recommended) or 3:4 (fallback)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Minimum export: 2400 x 3000 px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format: PNG (transparent or solid background) + JPG web variant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Color profile: sRGB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Composition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Framing: from mid-torso to head with consistent headroom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Pose: relaxed professional stance, neutral or light smile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Eye line: direct or slightly off-camera, consistent per series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Lighting: soft key + fill, no harsh shadows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Sharpness: high face clarity and natural skin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Background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Choose one global style and apply to all members: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A (recommended): solid light neutral gray `#EDEDED`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B: brand gradient background (single approved 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mix multiple unrelated background styles in one executive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Wardrobe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Executive/business attire aligned with role seniority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mixed casual and formal looks within the same leadership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distracting logos or unapproved symbols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Text and Layout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embed names/titles inside portrait image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Name/title must be rendered by the design layout layer (PDF/site), not baked into the 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Authenticity and Quality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visual artifacts that reduce trust (distorted hands, watch/earring anomalies, over-smoothed skin)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AI-generated or AI-enhanced images are used, apply manual retouch QA before public 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 realistic proportions and identity consistency with official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Filename Convention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`missionchain_{role}_{fullname}_{version}.png`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`missionchain_ceo_james_harstad_v1.png`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`missionchain_cto_nirmal_mukherjee_v1.png`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Delivery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person, provide: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Master 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JPG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Square crop (1:1 avatar)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Thumbnail crop (for mobile cards)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QA Checklist (Per Image)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 aspect 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embedded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wardrobe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natural facial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visible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naming convention followed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